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9B66" w14:textId="3684E5EE" w:rsidR="00295F59" w:rsidRDefault="00371997" w:rsidP="003A4B82">
      <w:r>
        <w:rPr>
          <w:noProof/>
        </w:rPr>
        <w:drawing>
          <wp:anchor distT="0" distB="0" distL="114300" distR="114300" simplePos="0" relativeHeight="251659264" behindDoc="0" locked="0" layoutInCell="1" allowOverlap="1" wp14:anchorId="06ACA252" wp14:editId="66B9DF3B">
            <wp:simplePos x="0" y="0"/>
            <wp:positionH relativeFrom="column">
              <wp:posOffset>4898779</wp:posOffset>
            </wp:positionH>
            <wp:positionV relativeFrom="page">
              <wp:posOffset>591764</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p>
    <w:p w14:paraId="5518E313" w14:textId="77777777" w:rsidR="00295F59" w:rsidRDefault="00295F59" w:rsidP="003A4B82"/>
    <w:p w14:paraId="54724CC7" w14:textId="77777777" w:rsidR="00295F59" w:rsidRDefault="00295F59" w:rsidP="003A4B82"/>
    <w:p w14:paraId="0C220252" w14:textId="031422BA" w:rsidR="00535327" w:rsidRDefault="00D60669" w:rsidP="003A4B82">
      <w:r>
        <w:tab/>
      </w:r>
    </w:p>
    <w:p w14:paraId="4A310E81" w14:textId="5A729F40" w:rsidR="00535327" w:rsidRPr="00535327" w:rsidRDefault="00535327" w:rsidP="003A4B82"/>
    <w:p w14:paraId="53D0E82D" w14:textId="77777777" w:rsidR="003A4B82" w:rsidRDefault="003A4B82" w:rsidP="003A4B82"/>
    <w:p w14:paraId="7ED3834B" w14:textId="77777777" w:rsidR="003A4B82" w:rsidRDefault="003A4B82" w:rsidP="003A4B82"/>
    <w:p w14:paraId="237E51A2" w14:textId="77777777" w:rsidR="00532963" w:rsidRDefault="00532963" w:rsidP="00532963">
      <w:pPr>
        <w:pStyle w:val="Title"/>
        <w:rPr>
          <w:highlight w:val="yellow"/>
        </w:rPr>
      </w:pPr>
    </w:p>
    <w:p w14:paraId="04A4676C" w14:textId="77777777" w:rsidR="00532963" w:rsidRDefault="00532963" w:rsidP="00532963">
      <w:pPr>
        <w:pStyle w:val="Title"/>
        <w:rPr>
          <w:highlight w:val="yellow"/>
        </w:rPr>
      </w:pPr>
    </w:p>
    <w:p w14:paraId="1D8B62B2" w14:textId="77777777" w:rsidR="00532963" w:rsidRDefault="00532963" w:rsidP="00532963">
      <w:pPr>
        <w:pStyle w:val="Title"/>
        <w:rPr>
          <w:highlight w:val="yellow"/>
        </w:rPr>
      </w:pPr>
    </w:p>
    <w:p w14:paraId="0A051643" w14:textId="77777777" w:rsidR="00532963" w:rsidRDefault="00532963" w:rsidP="00532963">
      <w:pPr>
        <w:pStyle w:val="Title"/>
        <w:rPr>
          <w:highlight w:val="yellow"/>
        </w:rPr>
      </w:pPr>
    </w:p>
    <w:p w14:paraId="3920AC5A" w14:textId="7EC8C64F" w:rsidR="00EC23F5" w:rsidRPr="00E72699" w:rsidRDefault="00F225AE" w:rsidP="003A4B82">
      <w:pPr>
        <w:spacing w:line="276" w:lineRule="auto"/>
      </w:pPr>
      <w:r>
        <w:rPr>
          <w:b/>
          <w:noProof/>
          <w:color w:val="0070C0"/>
          <w:sz w:val="32"/>
          <w:szCs w:val="32"/>
        </w:rPr>
        <w:drawing>
          <wp:inline distT="0" distB="0" distL="0" distR="0" wp14:anchorId="776CB6E3" wp14:editId="20B11BC7">
            <wp:extent cx="3045993" cy="691764"/>
            <wp:effectExtent l="0" t="0" r="2540" b="0"/>
            <wp:docPr id="4" name="Picture 4" descr="Photonet (Photonet National Managed Clinical Network) Icon Type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otonet (Photonet National Managed Clinical Network)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244B924F" w14:textId="739D9D38" w:rsidR="00295F59" w:rsidRDefault="00F225AE" w:rsidP="00F225AE">
      <w:pPr>
        <w:spacing w:line="276" w:lineRule="auto"/>
        <w:ind w:right="-330"/>
      </w:pPr>
      <w:proofErr w:type="spellStart"/>
      <w:r w:rsidRPr="00F225AE">
        <w:rPr>
          <w:b/>
          <w:color w:val="004785"/>
          <w:sz w:val="44"/>
          <w:szCs w:val="44"/>
        </w:rPr>
        <w:t>Photonet</w:t>
      </w:r>
      <w:proofErr w:type="spellEnd"/>
      <w:r w:rsidRPr="00F225AE">
        <w:rPr>
          <w:b/>
          <w:color w:val="004785"/>
          <w:sz w:val="44"/>
          <w:szCs w:val="44"/>
        </w:rPr>
        <w:t xml:space="preserve"> National Managed Clinical </w:t>
      </w:r>
      <w:r>
        <w:rPr>
          <w:b/>
          <w:color w:val="004785"/>
          <w:sz w:val="44"/>
          <w:szCs w:val="44"/>
        </w:rPr>
        <w:t>N</w:t>
      </w:r>
      <w:r w:rsidRPr="00F225AE">
        <w:rPr>
          <w:b/>
          <w:color w:val="004785"/>
          <w:sz w:val="44"/>
          <w:szCs w:val="44"/>
        </w:rPr>
        <w:t>etwork</w:t>
      </w:r>
    </w:p>
    <w:p w14:paraId="7C0EC77E" w14:textId="5217048D" w:rsidR="005A1EDC" w:rsidRDefault="00F225AE" w:rsidP="00F225AE">
      <w:pPr>
        <w:spacing w:line="276" w:lineRule="auto"/>
      </w:pPr>
      <w:r w:rsidRPr="00F225AE">
        <w:rPr>
          <w:bCs/>
          <w:color w:val="004785"/>
          <w:sz w:val="44"/>
          <w:szCs w:val="44"/>
        </w:rPr>
        <w:t>Dosimetry Protocols</w:t>
      </w:r>
      <w:r>
        <w:rPr>
          <w:bCs/>
          <w:color w:val="004785"/>
          <w:sz w:val="44"/>
          <w:szCs w:val="44"/>
        </w:rPr>
        <w:t xml:space="preserve"> </w:t>
      </w:r>
      <w:r w:rsidRPr="00F225AE">
        <w:rPr>
          <w:bCs/>
          <w:color w:val="004785"/>
          <w:sz w:val="44"/>
          <w:szCs w:val="44"/>
        </w:rPr>
        <w:t xml:space="preserve">for </w:t>
      </w:r>
      <w:proofErr w:type="spellStart"/>
      <w:r w:rsidRPr="00F225AE">
        <w:rPr>
          <w:bCs/>
          <w:color w:val="004785"/>
          <w:sz w:val="44"/>
          <w:szCs w:val="44"/>
        </w:rPr>
        <w:t>Photonet</w:t>
      </w:r>
      <w:proofErr w:type="spellEnd"/>
      <w:r w:rsidRPr="00F225AE">
        <w:rPr>
          <w:bCs/>
          <w:color w:val="004785"/>
          <w:sz w:val="44"/>
          <w:szCs w:val="44"/>
        </w:rPr>
        <w:t>*</w:t>
      </w:r>
    </w:p>
    <w:p w14:paraId="671DF33F" w14:textId="77777777" w:rsidR="005A1EDC" w:rsidRDefault="005A1EDC" w:rsidP="003A4B82">
      <w:pPr>
        <w:spacing w:line="276" w:lineRule="auto"/>
      </w:pPr>
    </w:p>
    <w:p w14:paraId="3FB6CFDA" w14:textId="2AAA3EB8" w:rsidR="00295F59" w:rsidRDefault="00295F59" w:rsidP="003A4B82">
      <w:pPr>
        <w:spacing w:line="276" w:lineRule="auto"/>
      </w:pPr>
    </w:p>
    <w:p w14:paraId="6034E98A" w14:textId="77777777" w:rsidR="00F225AE" w:rsidRDefault="00F225AE" w:rsidP="003A4B82">
      <w:pPr>
        <w:spacing w:line="276" w:lineRule="auto"/>
      </w:pPr>
    </w:p>
    <w:p w14:paraId="29D0CD08" w14:textId="77777777" w:rsidR="00295F59" w:rsidRDefault="00295F59" w:rsidP="003A4B82">
      <w:pPr>
        <w:spacing w:line="276" w:lineRule="auto"/>
      </w:pPr>
    </w:p>
    <w:p w14:paraId="70B26BF5" w14:textId="77777777" w:rsidR="00295F59" w:rsidRDefault="00295F59" w:rsidP="003A4B82">
      <w:pPr>
        <w:spacing w:line="276" w:lineRule="auto"/>
      </w:pPr>
    </w:p>
    <w:p w14:paraId="66328EB5" w14:textId="77777777" w:rsidR="00295F59" w:rsidRDefault="00295F59" w:rsidP="003A4B82">
      <w:pPr>
        <w:spacing w:line="276" w:lineRule="auto"/>
      </w:pPr>
    </w:p>
    <w:p w14:paraId="6D59C708" w14:textId="77777777" w:rsidR="00295F59" w:rsidRDefault="00295F59" w:rsidP="003A4B82">
      <w:pPr>
        <w:spacing w:line="276" w:lineRule="auto"/>
      </w:pPr>
    </w:p>
    <w:p w14:paraId="0BB9A715" w14:textId="3C99A4F3" w:rsidR="00295F59" w:rsidRPr="00532963" w:rsidRDefault="00295F59" w:rsidP="003A4B82">
      <w:pPr>
        <w:spacing w:line="276" w:lineRule="auto"/>
        <w:rPr>
          <w:b/>
          <w:bCs/>
        </w:rPr>
      </w:pPr>
      <w:r w:rsidRPr="00532963">
        <w:rPr>
          <w:b/>
          <w:bCs/>
        </w:rPr>
        <w:t>NOTE</w:t>
      </w:r>
    </w:p>
    <w:p w14:paraId="6C4B81DB" w14:textId="2F5EC66B" w:rsidR="00295F59" w:rsidRPr="00295F59" w:rsidRDefault="00295F59" w:rsidP="003A4B82">
      <w:pPr>
        <w:spacing w:line="276" w:lineRule="auto"/>
      </w:pPr>
      <w:r w:rsidRPr="00295F59">
        <w:t xml:space="preserve">This guideline is not intended to be construed or to serve as a standard of care. Standards of care are determined </w:t>
      </w:r>
      <w:r w:rsidR="00532963" w:rsidRPr="00295F59">
        <w:t>based on</w:t>
      </w:r>
      <w:r w:rsidRPr="00295F59">
        <w:t xml:space="preserve"> all clinical data available for an individual case and are subject to change as scientific knowledge and technology advance and patterns of care evolve. Adherence to guideline recommendations will not ensure</w:t>
      </w:r>
      <w:r w:rsidRPr="003A4B82">
        <w:t xml:space="preserve"> a successful outcome in every case, nor should they be construed as including all proper methods of care or excluding</w:t>
      </w:r>
      <w:r w:rsidRPr="00295F59">
        <w:t xml:space="preserve">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p w14:paraId="4315040B" w14:textId="3A7C0ABA" w:rsidR="00E72699" w:rsidRPr="00E72699" w:rsidRDefault="00E72699" w:rsidP="003A4B82">
      <w:pPr>
        <w:spacing w:line="276" w:lineRule="auto"/>
      </w:pPr>
      <w:r w:rsidRPr="00E72699">
        <w:br w:type="page"/>
      </w:r>
    </w:p>
    <w:bookmarkStart w:id="0" w:name="_Toc134530355" w:displacedByCustomXml="next"/>
    <w:sdt>
      <w:sdtPr>
        <w:rPr>
          <w:rFonts w:eastAsiaTheme="minorEastAsia"/>
          <w:b w:val="0"/>
          <w:bCs w:val="0"/>
          <w:color w:val="000000" w:themeColor="text1"/>
          <w:sz w:val="24"/>
          <w:szCs w:val="24"/>
          <w:lang w:eastAsia="en-GB"/>
        </w:rPr>
        <w:id w:val="-134649069"/>
        <w:docPartObj>
          <w:docPartGallery w:val="Table of Contents"/>
          <w:docPartUnique/>
        </w:docPartObj>
      </w:sdtPr>
      <w:sdtEndPr>
        <w:rPr>
          <w:noProof/>
          <w:sz w:val="28"/>
          <w:szCs w:val="28"/>
        </w:rPr>
      </w:sdtEndPr>
      <w:sdtContent>
        <w:p w14:paraId="3B59EFF0" w14:textId="129AF97C" w:rsidR="003D32F5" w:rsidRPr="003D32F5" w:rsidRDefault="003A4B82" w:rsidP="001562F1">
          <w:pPr>
            <w:pStyle w:val="Heading2"/>
            <w:spacing w:line="276" w:lineRule="auto"/>
            <w:rPr>
              <w:noProof/>
              <w:color w:val="004785"/>
              <w:sz w:val="32"/>
              <w:szCs w:val="32"/>
            </w:rPr>
          </w:pPr>
          <w:r w:rsidRPr="003D32F5">
            <w:rPr>
              <w:color w:val="004785"/>
              <w:sz w:val="32"/>
              <w:szCs w:val="32"/>
            </w:rPr>
            <w:t>Contents</w:t>
          </w:r>
          <w:bookmarkEnd w:id="0"/>
          <w:r w:rsidRPr="003A4B82">
            <w:rPr>
              <w:color w:val="004785"/>
              <w:sz w:val="32"/>
              <w:szCs w:val="32"/>
            </w:rPr>
            <w:fldChar w:fldCharType="begin"/>
          </w:r>
          <w:r w:rsidRPr="003D32F5">
            <w:rPr>
              <w:color w:val="004785"/>
              <w:sz w:val="32"/>
              <w:szCs w:val="32"/>
            </w:rPr>
            <w:instrText xml:space="preserve"> TOC \o "1-3" \h \z \u </w:instrText>
          </w:r>
          <w:r w:rsidRPr="003A4B82">
            <w:rPr>
              <w:color w:val="004785"/>
              <w:sz w:val="32"/>
              <w:szCs w:val="32"/>
            </w:rPr>
            <w:fldChar w:fldCharType="separate"/>
          </w:r>
        </w:p>
        <w:p w14:paraId="04569425" w14:textId="4ABB4D8E" w:rsidR="003D32F5" w:rsidRDefault="007E64F7" w:rsidP="001562F1">
          <w:pPr>
            <w:pStyle w:val="TOC1"/>
            <w:tabs>
              <w:tab w:val="left" w:pos="440"/>
              <w:tab w:val="right" w:leader="dot" w:pos="9016"/>
            </w:tabs>
            <w:spacing w:line="276" w:lineRule="auto"/>
            <w:rPr>
              <w:rFonts w:asciiTheme="minorHAnsi" w:hAnsiTheme="minorHAnsi" w:cstheme="minorBidi"/>
              <w:noProof/>
              <w:color w:val="auto"/>
              <w:sz w:val="22"/>
              <w:szCs w:val="22"/>
            </w:rPr>
          </w:pPr>
          <w:hyperlink w:anchor="_Toc134530356" w:history="1">
            <w:r w:rsidR="003D32F5" w:rsidRPr="001549FD">
              <w:rPr>
                <w:rStyle w:val="Hyperlink"/>
                <w:noProof/>
              </w:rPr>
              <w:t>1.</w:t>
            </w:r>
            <w:r w:rsidR="003D32F5">
              <w:rPr>
                <w:rFonts w:asciiTheme="minorHAnsi" w:hAnsiTheme="minorHAnsi" w:cstheme="minorBidi"/>
                <w:noProof/>
                <w:color w:val="auto"/>
                <w:sz w:val="22"/>
                <w:szCs w:val="22"/>
              </w:rPr>
              <w:tab/>
            </w:r>
            <w:r w:rsidR="003D32F5" w:rsidRPr="001549FD">
              <w:rPr>
                <w:rStyle w:val="Hyperlink"/>
                <w:noProof/>
              </w:rPr>
              <w:t>Safety</w:t>
            </w:r>
            <w:r w:rsidR="003D32F5">
              <w:rPr>
                <w:noProof/>
                <w:webHidden/>
              </w:rPr>
              <w:tab/>
            </w:r>
            <w:r w:rsidR="003D32F5">
              <w:rPr>
                <w:noProof/>
                <w:webHidden/>
              </w:rPr>
              <w:fldChar w:fldCharType="begin"/>
            </w:r>
            <w:r w:rsidR="003D32F5">
              <w:rPr>
                <w:noProof/>
                <w:webHidden/>
              </w:rPr>
              <w:instrText xml:space="preserve"> PAGEREF _Toc134530356 \h </w:instrText>
            </w:r>
            <w:r w:rsidR="003D32F5">
              <w:rPr>
                <w:noProof/>
                <w:webHidden/>
              </w:rPr>
            </w:r>
            <w:r w:rsidR="003D32F5">
              <w:rPr>
                <w:noProof/>
                <w:webHidden/>
              </w:rPr>
              <w:fldChar w:fldCharType="separate"/>
            </w:r>
            <w:r w:rsidR="003C1A07">
              <w:rPr>
                <w:noProof/>
                <w:webHidden/>
              </w:rPr>
              <w:t>3</w:t>
            </w:r>
            <w:r w:rsidR="003D32F5">
              <w:rPr>
                <w:noProof/>
                <w:webHidden/>
              </w:rPr>
              <w:fldChar w:fldCharType="end"/>
            </w:r>
          </w:hyperlink>
        </w:p>
        <w:p w14:paraId="087E0DA3" w14:textId="6D13E282" w:rsidR="003D32F5" w:rsidRDefault="007E64F7" w:rsidP="001562F1">
          <w:pPr>
            <w:pStyle w:val="TOC1"/>
            <w:tabs>
              <w:tab w:val="left" w:pos="440"/>
              <w:tab w:val="right" w:leader="dot" w:pos="9016"/>
            </w:tabs>
            <w:spacing w:line="276" w:lineRule="auto"/>
            <w:rPr>
              <w:rFonts w:asciiTheme="minorHAnsi" w:hAnsiTheme="minorHAnsi" w:cstheme="minorBidi"/>
              <w:noProof/>
              <w:color w:val="auto"/>
              <w:sz w:val="22"/>
              <w:szCs w:val="22"/>
            </w:rPr>
          </w:pPr>
          <w:hyperlink w:anchor="_Toc134530357" w:history="1">
            <w:r w:rsidR="003D32F5" w:rsidRPr="001549FD">
              <w:rPr>
                <w:rStyle w:val="Hyperlink"/>
                <w:noProof/>
              </w:rPr>
              <w:t>2.</w:t>
            </w:r>
            <w:r w:rsidR="003D32F5">
              <w:rPr>
                <w:rFonts w:asciiTheme="minorHAnsi" w:hAnsiTheme="minorHAnsi" w:cstheme="minorBidi"/>
                <w:noProof/>
                <w:color w:val="auto"/>
                <w:sz w:val="22"/>
                <w:szCs w:val="22"/>
              </w:rPr>
              <w:tab/>
            </w:r>
            <w:r w:rsidR="003D32F5" w:rsidRPr="001549FD">
              <w:rPr>
                <w:rStyle w:val="Hyperlink"/>
                <w:noProof/>
              </w:rPr>
              <w:t>Dosimetry Protocol No.1: Meter Calibration</w:t>
            </w:r>
            <w:r w:rsidR="003D32F5">
              <w:rPr>
                <w:noProof/>
                <w:webHidden/>
              </w:rPr>
              <w:tab/>
            </w:r>
            <w:r w:rsidR="003D32F5">
              <w:rPr>
                <w:noProof/>
                <w:webHidden/>
              </w:rPr>
              <w:fldChar w:fldCharType="begin"/>
            </w:r>
            <w:r w:rsidR="003D32F5">
              <w:rPr>
                <w:noProof/>
                <w:webHidden/>
              </w:rPr>
              <w:instrText xml:space="preserve"> PAGEREF _Toc134530357 \h </w:instrText>
            </w:r>
            <w:r w:rsidR="003D32F5">
              <w:rPr>
                <w:noProof/>
                <w:webHidden/>
              </w:rPr>
            </w:r>
            <w:r w:rsidR="003D32F5">
              <w:rPr>
                <w:noProof/>
                <w:webHidden/>
              </w:rPr>
              <w:fldChar w:fldCharType="separate"/>
            </w:r>
            <w:r w:rsidR="003C1A07">
              <w:rPr>
                <w:noProof/>
                <w:webHidden/>
              </w:rPr>
              <w:t>3</w:t>
            </w:r>
            <w:r w:rsidR="003D32F5">
              <w:rPr>
                <w:noProof/>
                <w:webHidden/>
              </w:rPr>
              <w:fldChar w:fldCharType="end"/>
            </w:r>
          </w:hyperlink>
        </w:p>
        <w:p w14:paraId="66DDD08C" w14:textId="435EDA49" w:rsidR="003D32F5" w:rsidRDefault="007E64F7" w:rsidP="00E26836">
          <w:pPr>
            <w:pStyle w:val="TOC2"/>
            <w:rPr>
              <w:rFonts w:asciiTheme="minorHAnsi" w:hAnsiTheme="minorHAnsi" w:cstheme="minorBidi"/>
              <w:noProof/>
              <w:color w:val="auto"/>
              <w:sz w:val="22"/>
              <w:szCs w:val="22"/>
            </w:rPr>
          </w:pPr>
          <w:hyperlink w:anchor="_Toc134530358" w:history="1">
            <w:r w:rsidR="003D32F5" w:rsidRPr="001549FD">
              <w:rPr>
                <w:rStyle w:val="Hyperlink"/>
                <w:noProof/>
              </w:rPr>
              <w:t xml:space="preserve">(a)  </w:t>
            </w:r>
            <w:r w:rsidR="003D32F5">
              <w:rPr>
                <w:rFonts w:asciiTheme="minorHAnsi" w:hAnsiTheme="minorHAnsi" w:cstheme="minorBidi"/>
                <w:noProof/>
                <w:color w:val="auto"/>
                <w:sz w:val="22"/>
                <w:szCs w:val="22"/>
              </w:rPr>
              <w:tab/>
            </w:r>
            <w:r w:rsidR="003D32F5" w:rsidRPr="001549FD">
              <w:rPr>
                <w:rStyle w:val="Hyperlink"/>
                <w:noProof/>
              </w:rPr>
              <w:t>Calibration Laboratory</w:t>
            </w:r>
            <w:r w:rsidR="003D32F5">
              <w:rPr>
                <w:noProof/>
                <w:webHidden/>
              </w:rPr>
              <w:tab/>
            </w:r>
            <w:r w:rsidR="003D32F5">
              <w:rPr>
                <w:noProof/>
                <w:webHidden/>
              </w:rPr>
              <w:fldChar w:fldCharType="begin"/>
            </w:r>
            <w:r w:rsidR="003D32F5">
              <w:rPr>
                <w:noProof/>
                <w:webHidden/>
              </w:rPr>
              <w:instrText xml:space="preserve"> PAGEREF _Toc134530358 \h </w:instrText>
            </w:r>
            <w:r w:rsidR="003D32F5">
              <w:rPr>
                <w:noProof/>
                <w:webHidden/>
              </w:rPr>
            </w:r>
            <w:r w:rsidR="003D32F5">
              <w:rPr>
                <w:noProof/>
                <w:webHidden/>
              </w:rPr>
              <w:fldChar w:fldCharType="separate"/>
            </w:r>
            <w:r w:rsidR="003C1A07">
              <w:rPr>
                <w:noProof/>
                <w:webHidden/>
              </w:rPr>
              <w:t>3</w:t>
            </w:r>
            <w:r w:rsidR="003D32F5">
              <w:rPr>
                <w:noProof/>
                <w:webHidden/>
              </w:rPr>
              <w:fldChar w:fldCharType="end"/>
            </w:r>
          </w:hyperlink>
        </w:p>
        <w:p w14:paraId="66967CC0" w14:textId="25A75502" w:rsidR="003D32F5" w:rsidRDefault="007E64F7" w:rsidP="00E26836">
          <w:pPr>
            <w:pStyle w:val="TOC2"/>
            <w:rPr>
              <w:rFonts w:asciiTheme="minorHAnsi" w:hAnsiTheme="minorHAnsi" w:cstheme="minorBidi"/>
              <w:noProof/>
              <w:color w:val="auto"/>
              <w:sz w:val="22"/>
              <w:szCs w:val="22"/>
            </w:rPr>
          </w:pPr>
          <w:hyperlink w:anchor="_Toc134530359" w:history="1">
            <w:r w:rsidR="003D32F5" w:rsidRPr="001549FD">
              <w:rPr>
                <w:rStyle w:val="Hyperlink"/>
                <w:noProof/>
              </w:rPr>
              <w:t>(b)</w:t>
            </w:r>
            <w:r w:rsidR="00E26836" w:rsidRPr="00E26836">
              <w:rPr>
                <w:rStyle w:val="Hyperlink"/>
                <w:noProof/>
              </w:rPr>
              <w:t xml:space="preserve">  </w:t>
            </w:r>
            <w:r w:rsidR="00E26836" w:rsidRPr="00E26836">
              <w:rPr>
                <w:rStyle w:val="Hyperlink"/>
                <w:noProof/>
              </w:rPr>
              <w:tab/>
            </w:r>
            <w:r w:rsidR="003D32F5" w:rsidRPr="001549FD">
              <w:rPr>
                <w:rStyle w:val="Hyperlink"/>
                <w:noProof/>
              </w:rPr>
              <w:t>Lamp-based Calibration</w:t>
            </w:r>
            <w:r w:rsidR="003D32F5">
              <w:rPr>
                <w:noProof/>
                <w:webHidden/>
              </w:rPr>
              <w:tab/>
            </w:r>
            <w:r w:rsidR="003D32F5">
              <w:rPr>
                <w:noProof/>
                <w:webHidden/>
              </w:rPr>
              <w:fldChar w:fldCharType="begin"/>
            </w:r>
            <w:r w:rsidR="003D32F5">
              <w:rPr>
                <w:noProof/>
                <w:webHidden/>
              </w:rPr>
              <w:instrText xml:space="preserve"> PAGEREF _Toc134530359 \h </w:instrText>
            </w:r>
            <w:r w:rsidR="003D32F5">
              <w:rPr>
                <w:noProof/>
                <w:webHidden/>
              </w:rPr>
            </w:r>
            <w:r w:rsidR="003D32F5">
              <w:rPr>
                <w:noProof/>
                <w:webHidden/>
              </w:rPr>
              <w:fldChar w:fldCharType="separate"/>
            </w:r>
            <w:r w:rsidR="003C1A07">
              <w:rPr>
                <w:noProof/>
                <w:webHidden/>
              </w:rPr>
              <w:t>3</w:t>
            </w:r>
            <w:r w:rsidR="003D32F5">
              <w:rPr>
                <w:noProof/>
                <w:webHidden/>
              </w:rPr>
              <w:fldChar w:fldCharType="end"/>
            </w:r>
          </w:hyperlink>
        </w:p>
        <w:p w14:paraId="363CAF30" w14:textId="40359534" w:rsidR="003D32F5" w:rsidRDefault="007E64F7" w:rsidP="00E26836">
          <w:pPr>
            <w:pStyle w:val="TOC2"/>
            <w:rPr>
              <w:rFonts w:asciiTheme="minorHAnsi" w:hAnsiTheme="minorHAnsi" w:cstheme="minorBidi"/>
              <w:noProof/>
              <w:color w:val="auto"/>
              <w:sz w:val="22"/>
              <w:szCs w:val="22"/>
            </w:rPr>
          </w:pPr>
          <w:hyperlink w:anchor="_Toc134530360" w:history="1">
            <w:r w:rsidR="003D32F5" w:rsidRPr="001549FD">
              <w:rPr>
                <w:rStyle w:val="Hyperlink"/>
                <w:noProof/>
              </w:rPr>
              <w:t>(c)</w:t>
            </w:r>
            <w:r w:rsidR="00E26836" w:rsidRPr="00E26836">
              <w:rPr>
                <w:rStyle w:val="Hyperlink"/>
                <w:noProof/>
              </w:rPr>
              <w:t xml:space="preserve">  </w:t>
            </w:r>
            <w:r w:rsidR="00E26836" w:rsidRPr="00E26836">
              <w:rPr>
                <w:rStyle w:val="Hyperlink"/>
                <w:noProof/>
              </w:rPr>
              <w:tab/>
            </w:r>
            <w:r w:rsidR="003D32F5" w:rsidRPr="001549FD">
              <w:rPr>
                <w:rStyle w:val="Hyperlink"/>
                <w:noProof/>
              </w:rPr>
              <w:t>Detector-based Calibration</w:t>
            </w:r>
            <w:r w:rsidR="003D32F5">
              <w:rPr>
                <w:noProof/>
                <w:webHidden/>
              </w:rPr>
              <w:tab/>
            </w:r>
            <w:r w:rsidR="003D32F5">
              <w:rPr>
                <w:noProof/>
                <w:webHidden/>
              </w:rPr>
              <w:fldChar w:fldCharType="begin"/>
            </w:r>
            <w:r w:rsidR="003D32F5">
              <w:rPr>
                <w:noProof/>
                <w:webHidden/>
              </w:rPr>
              <w:instrText xml:space="preserve"> PAGEREF _Toc134530360 \h </w:instrText>
            </w:r>
            <w:r w:rsidR="003D32F5">
              <w:rPr>
                <w:noProof/>
                <w:webHidden/>
              </w:rPr>
            </w:r>
            <w:r w:rsidR="003D32F5">
              <w:rPr>
                <w:noProof/>
                <w:webHidden/>
              </w:rPr>
              <w:fldChar w:fldCharType="separate"/>
            </w:r>
            <w:r w:rsidR="003C1A07">
              <w:rPr>
                <w:noProof/>
                <w:webHidden/>
              </w:rPr>
              <w:t>4</w:t>
            </w:r>
            <w:r w:rsidR="003D32F5">
              <w:rPr>
                <w:noProof/>
                <w:webHidden/>
              </w:rPr>
              <w:fldChar w:fldCharType="end"/>
            </w:r>
          </w:hyperlink>
        </w:p>
        <w:p w14:paraId="51198B52" w14:textId="4B6FBB14" w:rsidR="003D32F5" w:rsidRDefault="007E64F7" w:rsidP="001562F1">
          <w:pPr>
            <w:pStyle w:val="TOC1"/>
            <w:tabs>
              <w:tab w:val="left" w:pos="440"/>
              <w:tab w:val="right" w:leader="dot" w:pos="9016"/>
            </w:tabs>
            <w:spacing w:line="276" w:lineRule="auto"/>
            <w:rPr>
              <w:rFonts w:asciiTheme="minorHAnsi" w:hAnsiTheme="minorHAnsi" w:cstheme="minorBidi"/>
              <w:noProof/>
              <w:color w:val="auto"/>
              <w:sz w:val="22"/>
              <w:szCs w:val="22"/>
            </w:rPr>
          </w:pPr>
          <w:hyperlink w:anchor="_Toc134530361" w:history="1">
            <w:r w:rsidR="003D32F5" w:rsidRPr="001549FD">
              <w:rPr>
                <w:rStyle w:val="Hyperlink"/>
                <w:noProof/>
              </w:rPr>
              <w:t>3.</w:t>
            </w:r>
            <w:r w:rsidR="003D32F5">
              <w:rPr>
                <w:rFonts w:asciiTheme="minorHAnsi" w:hAnsiTheme="minorHAnsi" w:cstheme="minorBidi"/>
                <w:noProof/>
                <w:color w:val="auto"/>
                <w:sz w:val="22"/>
                <w:szCs w:val="22"/>
              </w:rPr>
              <w:tab/>
            </w:r>
            <w:r w:rsidR="003D32F5" w:rsidRPr="001549FD">
              <w:rPr>
                <w:rStyle w:val="Hyperlink"/>
                <w:noProof/>
              </w:rPr>
              <w:t>Dosimetry Protocol No. 2: Designated Patient Irradiance</w:t>
            </w:r>
            <w:r w:rsidR="003D32F5">
              <w:rPr>
                <w:noProof/>
                <w:webHidden/>
              </w:rPr>
              <w:tab/>
            </w:r>
            <w:r w:rsidR="003D32F5">
              <w:rPr>
                <w:noProof/>
                <w:webHidden/>
              </w:rPr>
              <w:fldChar w:fldCharType="begin"/>
            </w:r>
            <w:r w:rsidR="003D32F5">
              <w:rPr>
                <w:noProof/>
                <w:webHidden/>
              </w:rPr>
              <w:instrText xml:space="preserve"> PAGEREF _Toc134530361 \h </w:instrText>
            </w:r>
            <w:r w:rsidR="003D32F5">
              <w:rPr>
                <w:noProof/>
                <w:webHidden/>
              </w:rPr>
            </w:r>
            <w:r w:rsidR="003D32F5">
              <w:rPr>
                <w:noProof/>
                <w:webHidden/>
              </w:rPr>
              <w:fldChar w:fldCharType="separate"/>
            </w:r>
            <w:r w:rsidR="003C1A07">
              <w:rPr>
                <w:noProof/>
                <w:webHidden/>
              </w:rPr>
              <w:t>5</w:t>
            </w:r>
            <w:r w:rsidR="003D32F5">
              <w:rPr>
                <w:noProof/>
                <w:webHidden/>
              </w:rPr>
              <w:fldChar w:fldCharType="end"/>
            </w:r>
          </w:hyperlink>
        </w:p>
        <w:p w14:paraId="5C029C2F" w14:textId="3E8F10E8" w:rsidR="003D32F5" w:rsidRDefault="007E64F7" w:rsidP="00E26836">
          <w:pPr>
            <w:pStyle w:val="TOC2"/>
            <w:rPr>
              <w:rFonts w:asciiTheme="minorHAnsi" w:hAnsiTheme="minorHAnsi" w:cstheme="minorBidi"/>
              <w:noProof/>
              <w:color w:val="auto"/>
              <w:sz w:val="22"/>
              <w:szCs w:val="22"/>
            </w:rPr>
          </w:pPr>
          <w:hyperlink w:anchor="_Toc134530362" w:history="1">
            <w:r w:rsidR="003D32F5" w:rsidRPr="001549FD">
              <w:rPr>
                <w:rStyle w:val="Hyperlink"/>
                <w:noProof/>
              </w:rPr>
              <w:t xml:space="preserve">(a)  </w:t>
            </w:r>
            <w:r w:rsidR="003D32F5">
              <w:rPr>
                <w:rFonts w:asciiTheme="minorHAnsi" w:hAnsiTheme="minorHAnsi" w:cstheme="minorBidi"/>
                <w:noProof/>
                <w:color w:val="auto"/>
                <w:sz w:val="22"/>
                <w:szCs w:val="22"/>
              </w:rPr>
              <w:tab/>
            </w:r>
            <w:r w:rsidR="003D32F5" w:rsidRPr="001549FD">
              <w:rPr>
                <w:rStyle w:val="Hyperlink"/>
                <w:noProof/>
              </w:rPr>
              <w:t>Designated Patient Irradiance</w:t>
            </w:r>
            <w:r w:rsidR="003D32F5">
              <w:rPr>
                <w:noProof/>
                <w:webHidden/>
              </w:rPr>
              <w:tab/>
            </w:r>
            <w:r w:rsidR="003D32F5">
              <w:rPr>
                <w:noProof/>
                <w:webHidden/>
              </w:rPr>
              <w:fldChar w:fldCharType="begin"/>
            </w:r>
            <w:r w:rsidR="003D32F5">
              <w:rPr>
                <w:noProof/>
                <w:webHidden/>
              </w:rPr>
              <w:instrText xml:space="preserve"> PAGEREF _Toc134530362 \h </w:instrText>
            </w:r>
            <w:r w:rsidR="003D32F5">
              <w:rPr>
                <w:noProof/>
                <w:webHidden/>
              </w:rPr>
            </w:r>
            <w:r w:rsidR="003D32F5">
              <w:rPr>
                <w:noProof/>
                <w:webHidden/>
              </w:rPr>
              <w:fldChar w:fldCharType="separate"/>
            </w:r>
            <w:r w:rsidR="003C1A07">
              <w:rPr>
                <w:noProof/>
                <w:webHidden/>
              </w:rPr>
              <w:t>5</w:t>
            </w:r>
            <w:r w:rsidR="003D32F5">
              <w:rPr>
                <w:noProof/>
                <w:webHidden/>
              </w:rPr>
              <w:fldChar w:fldCharType="end"/>
            </w:r>
          </w:hyperlink>
        </w:p>
        <w:p w14:paraId="6B2E9748" w14:textId="13D1584E" w:rsidR="003D32F5" w:rsidRDefault="007E64F7" w:rsidP="00E26836">
          <w:pPr>
            <w:pStyle w:val="TOC2"/>
            <w:rPr>
              <w:rFonts w:asciiTheme="minorHAnsi" w:hAnsiTheme="minorHAnsi" w:cstheme="minorBidi"/>
              <w:noProof/>
              <w:color w:val="auto"/>
              <w:sz w:val="22"/>
              <w:szCs w:val="22"/>
            </w:rPr>
          </w:pPr>
          <w:hyperlink w:anchor="_Toc134530363" w:history="1">
            <w:r w:rsidR="003D32F5" w:rsidRPr="001549FD">
              <w:rPr>
                <w:rStyle w:val="Hyperlink"/>
                <w:noProof/>
              </w:rPr>
              <w:t xml:space="preserve">(b)  </w:t>
            </w:r>
            <w:r w:rsidR="003D32F5">
              <w:rPr>
                <w:rFonts w:asciiTheme="minorHAnsi" w:hAnsiTheme="minorHAnsi" w:cstheme="minorBidi"/>
                <w:noProof/>
                <w:color w:val="auto"/>
                <w:sz w:val="22"/>
                <w:szCs w:val="22"/>
              </w:rPr>
              <w:tab/>
            </w:r>
            <w:r w:rsidR="003D32F5" w:rsidRPr="001549FD">
              <w:rPr>
                <w:rStyle w:val="Hyperlink"/>
                <w:noProof/>
              </w:rPr>
              <w:t>Direct Method</w:t>
            </w:r>
            <w:r w:rsidR="003D32F5">
              <w:rPr>
                <w:noProof/>
                <w:webHidden/>
              </w:rPr>
              <w:tab/>
            </w:r>
            <w:r w:rsidR="003D32F5">
              <w:rPr>
                <w:noProof/>
                <w:webHidden/>
              </w:rPr>
              <w:fldChar w:fldCharType="begin"/>
            </w:r>
            <w:r w:rsidR="003D32F5">
              <w:rPr>
                <w:noProof/>
                <w:webHidden/>
              </w:rPr>
              <w:instrText xml:space="preserve"> PAGEREF _Toc134530363 \h </w:instrText>
            </w:r>
            <w:r w:rsidR="003D32F5">
              <w:rPr>
                <w:noProof/>
                <w:webHidden/>
              </w:rPr>
            </w:r>
            <w:r w:rsidR="003D32F5">
              <w:rPr>
                <w:noProof/>
                <w:webHidden/>
              </w:rPr>
              <w:fldChar w:fldCharType="separate"/>
            </w:r>
            <w:r w:rsidR="003C1A07">
              <w:rPr>
                <w:noProof/>
                <w:webHidden/>
              </w:rPr>
              <w:t>6</w:t>
            </w:r>
            <w:r w:rsidR="003D32F5">
              <w:rPr>
                <w:noProof/>
                <w:webHidden/>
              </w:rPr>
              <w:fldChar w:fldCharType="end"/>
            </w:r>
          </w:hyperlink>
        </w:p>
        <w:p w14:paraId="756E87AF" w14:textId="60E9E09A" w:rsidR="003D32F5" w:rsidRDefault="007E64F7" w:rsidP="00E26836">
          <w:pPr>
            <w:pStyle w:val="TOC2"/>
            <w:rPr>
              <w:rFonts w:asciiTheme="minorHAnsi" w:hAnsiTheme="minorHAnsi" w:cstheme="minorBidi"/>
              <w:noProof/>
              <w:color w:val="auto"/>
              <w:sz w:val="22"/>
              <w:szCs w:val="22"/>
            </w:rPr>
          </w:pPr>
          <w:hyperlink w:anchor="_Toc134530364" w:history="1">
            <w:r w:rsidR="003D32F5" w:rsidRPr="001549FD">
              <w:rPr>
                <w:rStyle w:val="Hyperlink"/>
                <w:noProof/>
              </w:rPr>
              <w:t xml:space="preserve">(c)  </w:t>
            </w:r>
            <w:r w:rsidR="003D32F5">
              <w:rPr>
                <w:rFonts w:asciiTheme="minorHAnsi" w:hAnsiTheme="minorHAnsi" w:cstheme="minorBidi"/>
                <w:noProof/>
                <w:color w:val="auto"/>
                <w:sz w:val="22"/>
                <w:szCs w:val="22"/>
              </w:rPr>
              <w:tab/>
            </w:r>
            <w:r w:rsidR="003D32F5" w:rsidRPr="001549FD">
              <w:rPr>
                <w:rStyle w:val="Hyperlink"/>
                <w:noProof/>
              </w:rPr>
              <w:t>Indirect Method</w:t>
            </w:r>
            <w:r w:rsidR="003D32F5">
              <w:rPr>
                <w:noProof/>
                <w:webHidden/>
              </w:rPr>
              <w:tab/>
            </w:r>
            <w:r w:rsidR="003D32F5">
              <w:rPr>
                <w:noProof/>
                <w:webHidden/>
              </w:rPr>
              <w:fldChar w:fldCharType="begin"/>
            </w:r>
            <w:r w:rsidR="003D32F5">
              <w:rPr>
                <w:noProof/>
                <w:webHidden/>
              </w:rPr>
              <w:instrText xml:space="preserve"> PAGEREF _Toc134530364 \h </w:instrText>
            </w:r>
            <w:r w:rsidR="003D32F5">
              <w:rPr>
                <w:noProof/>
                <w:webHidden/>
              </w:rPr>
            </w:r>
            <w:r w:rsidR="003D32F5">
              <w:rPr>
                <w:noProof/>
                <w:webHidden/>
              </w:rPr>
              <w:fldChar w:fldCharType="separate"/>
            </w:r>
            <w:r w:rsidR="003C1A07">
              <w:rPr>
                <w:noProof/>
                <w:webHidden/>
              </w:rPr>
              <w:t>6</w:t>
            </w:r>
            <w:r w:rsidR="003D32F5">
              <w:rPr>
                <w:noProof/>
                <w:webHidden/>
              </w:rPr>
              <w:fldChar w:fldCharType="end"/>
            </w:r>
          </w:hyperlink>
        </w:p>
        <w:p w14:paraId="2C583F62" w14:textId="623BDAC2" w:rsidR="003D32F5" w:rsidRDefault="007E64F7" w:rsidP="00E26836">
          <w:pPr>
            <w:pStyle w:val="TOC2"/>
            <w:rPr>
              <w:rFonts w:asciiTheme="minorHAnsi" w:hAnsiTheme="minorHAnsi" w:cstheme="minorBidi"/>
              <w:noProof/>
              <w:color w:val="auto"/>
              <w:sz w:val="22"/>
              <w:szCs w:val="22"/>
            </w:rPr>
          </w:pPr>
          <w:hyperlink w:anchor="_Toc134530365" w:history="1">
            <w:r w:rsidR="003D32F5" w:rsidRPr="001549FD">
              <w:rPr>
                <w:rStyle w:val="Hyperlink"/>
                <w:noProof/>
              </w:rPr>
              <w:t xml:space="preserve">(d)  </w:t>
            </w:r>
            <w:r w:rsidR="003D32F5">
              <w:rPr>
                <w:rFonts w:asciiTheme="minorHAnsi" w:hAnsiTheme="minorHAnsi" w:cstheme="minorBidi"/>
                <w:noProof/>
                <w:color w:val="auto"/>
                <w:sz w:val="22"/>
                <w:szCs w:val="22"/>
              </w:rPr>
              <w:tab/>
            </w:r>
            <w:r w:rsidR="003D32F5" w:rsidRPr="001549FD">
              <w:rPr>
                <w:rStyle w:val="Hyperlink"/>
                <w:noProof/>
              </w:rPr>
              <w:t>Safety</w:t>
            </w:r>
            <w:r w:rsidR="003D32F5">
              <w:rPr>
                <w:noProof/>
                <w:webHidden/>
              </w:rPr>
              <w:tab/>
            </w:r>
            <w:r w:rsidR="003D32F5">
              <w:rPr>
                <w:noProof/>
                <w:webHidden/>
              </w:rPr>
              <w:fldChar w:fldCharType="begin"/>
            </w:r>
            <w:r w:rsidR="003D32F5">
              <w:rPr>
                <w:noProof/>
                <w:webHidden/>
              </w:rPr>
              <w:instrText xml:space="preserve"> PAGEREF _Toc134530365 \h </w:instrText>
            </w:r>
            <w:r w:rsidR="003D32F5">
              <w:rPr>
                <w:noProof/>
                <w:webHidden/>
              </w:rPr>
            </w:r>
            <w:r w:rsidR="003D32F5">
              <w:rPr>
                <w:noProof/>
                <w:webHidden/>
              </w:rPr>
              <w:fldChar w:fldCharType="separate"/>
            </w:r>
            <w:r w:rsidR="003C1A07">
              <w:rPr>
                <w:noProof/>
                <w:webHidden/>
              </w:rPr>
              <w:t>6</w:t>
            </w:r>
            <w:r w:rsidR="003D32F5">
              <w:rPr>
                <w:noProof/>
                <w:webHidden/>
              </w:rPr>
              <w:fldChar w:fldCharType="end"/>
            </w:r>
          </w:hyperlink>
        </w:p>
        <w:p w14:paraId="5084615A" w14:textId="463670BE" w:rsidR="003D32F5" w:rsidRDefault="007E64F7" w:rsidP="00E26836">
          <w:pPr>
            <w:pStyle w:val="TOC2"/>
            <w:rPr>
              <w:rFonts w:asciiTheme="minorHAnsi" w:hAnsiTheme="minorHAnsi" w:cstheme="minorBidi"/>
              <w:noProof/>
              <w:color w:val="auto"/>
              <w:sz w:val="22"/>
              <w:szCs w:val="22"/>
            </w:rPr>
          </w:pPr>
          <w:hyperlink w:anchor="_Toc134530366" w:history="1">
            <w:r w:rsidR="003D32F5" w:rsidRPr="001549FD">
              <w:rPr>
                <w:rStyle w:val="Hyperlink"/>
                <w:noProof/>
              </w:rPr>
              <w:t xml:space="preserve">(e) </w:t>
            </w:r>
            <w:r w:rsidR="003D32F5">
              <w:rPr>
                <w:rFonts w:asciiTheme="minorHAnsi" w:hAnsiTheme="minorHAnsi" w:cstheme="minorBidi"/>
                <w:noProof/>
                <w:color w:val="auto"/>
                <w:sz w:val="22"/>
                <w:szCs w:val="22"/>
              </w:rPr>
              <w:tab/>
            </w:r>
            <w:r w:rsidR="003D32F5" w:rsidRPr="001549FD">
              <w:rPr>
                <w:rStyle w:val="Hyperlink"/>
                <w:noProof/>
              </w:rPr>
              <w:t>Lamp Replacement</w:t>
            </w:r>
            <w:r w:rsidR="003D32F5">
              <w:rPr>
                <w:noProof/>
                <w:webHidden/>
              </w:rPr>
              <w:tab/>
            </w:r>
            <w:r w:rsidR="003D32F5">
              <w:rPr>
                <w:noProof/>
                <w:webHidden/>
              </w:rPr>
              <w:fldChar w:fldCharType="begin"/>
            </w:r>
            <w:r w:rsidR="003D32F5">
              <w:rPr>
                <w:noProof/>
                <w:webHidden/>
              </w:rPr>
              <w:instrText xml:space="preserve"> PAGEREF _Toc134530366 \h </w:instrText>
            </w:r>
            <w:r w:rsidR="003D32F5">
              <w:rPr>
                <w:noProof/>
                <w:webHidden/>
              </w:rPr>
            </w:r>
            <w:r w:rsidR="003D32F5">
              <w:rPr>
                <w:noProof/>
                <w:webHidden/>
              </w:rPr>
              <w:fldChar w:fldCharType="separate"/>
            </w:r>
            <w:r w:rsidR="003C1A07">
              <w:rPr>
                <w:noProof/>
                <w:webHidden/>
              </w:rPr>
              <w:t>7</w:t>
            </w:r>
            <w:r w:rsidR="003D32F5">
              <w:rPr>
                <w:noProof/>
                <w:webHidden/>
              </w:rPr>
              <w:fldChar w:fldCharType="end"/>
            </w:r>
          </w:hyperlink>
        </w:p>
        <w:p w14:paraId="01978FDE" w14:textId="3CDB7EAE" w:rsidR="003D32F5" w:rsidRDefault="007E64F7" w:rsidP="001562F1">
          <w:pPr>
            <w:pStyle w:val="TOC1"/>
            <w:tabs>
              <w:tab w:val="left" w:pos="440"/>
              <w:tab w:val="right" w:leader="dot" w:pos="9016"/>
            </w:tabs>
            <w:spacing w:line="276" w:lineRule="auto"/>
            <w:rPr>
              <w:rFonts w:asciiTheme="minorHAnsi" w:hAnsiTheme="minorHAnsi" w:cstheme="minorBidi"/>
              <w:noProof/>
              <w:color w:val="auto"/>
              <w:sz w:val="22"/>
              <w:szCs w:val="22"/>
            </w:rPr>
          </w:pPr>
          <w:hyperlink w:anchor="_Toc134530367" w:history="1">
            <w:r w:rsidR="003D32F5" w:rsidRPr="001549FD">
              <w:rPr>
                <w:rStyle w:val="Hyperlink"/>
                <w:noProof/>
              </w:rPr>
              <w:t>4.</w:t>
            </w:r>
            <w:r w:rsidR="003D32F5">
              <w:rPr>
                <w:rFonts w:asciiTheme="minorHAnsi" w:hAnsiTheme="minorHAnsi" w:cstheme="minorBidi"/>
                <w:noProof/>
                <w:color w:val="auto"/>
                <w:sz w:val="22"/>
                <w:szCs w:val="22"/>
              </w:rPr>
              <w:tab/>
            </w:r>
            <w:r w:rsidR="003D32F5" w:rsidRPr="001549FD">
              <w:rPr>
                <w:rStyle w:val="Hyperlink"/>
                <w:noProof/>
              </w:rPr>
              <w:t>Dosimetry Protocol No. 3: Calibration of Handheld MED Testers</w:t>
            </w:r>
            <w:r w:rsidR="003D32F5">
              <w:rPr>
                <w:noProof/>
                <w:webHidden/>
              </w:rPr>
              <w:tab/>
            </w:r>
            <w:r w:rsidR="003D32F5">
              <w:rPr>
                <w:noProof/>
                <w:webHidden/>
              </w:rPr>
              <w:fldChar w:fldCharType="begin"/>
            </w:r>
            <w:r w:rsidR="003D32F5">
              <w:rPr>
                <w:noProof/>
                <w:webHidden/>
              </w:rPr>
              <w:instrText xml:space="preserve"> PAGEREF _Toc134530367 \h </w:instrText>
            </w:r>
            <w:r w:rsidR="003D32F5">
              <w:rPr>
                <w:noProof/>
                <w:webHidden/>
              </w:rPr>
            </w:r>
            <w:r w:rsidR="003D32F5">
              <w:rPr>
                <w:noProof/>
                <w:webHidden/>
              </w:rPr>
              <w:fldChar w:fldCharType="separate"/>
            </w:r>
            <w:r w:rsidR="003C1A07">
              <w:rPr>
                <w:noProof/>
                <w:webHidden/>
              </w:rPr>
              <w:t>8</w:t>
            </w:r>
            <w:r w:rsidR="003D32F5">
              <w:rPr>
                <w:noProof/>
                <w:webHidden/>
              </w:rPr>
              <w:fldChar w:fldCharType="end"/>
            </w:r>
          </w:hyperlink>
        </w:p>
        <w:p w14:paraId="2E76E6C8" w14:textId="366AEE53" w:rsidR="003D32F5" w:rsidRDefault="007E64F7" w:rsidP="001562F1">
          <w:pPr>
            <w:pStyle w:val="TOC1"/>
            <w:tabs>
              <w:tab w:val="left" w:pos="440"/>
              <w:tab w:val="right" w:leader="dot" w:pos="9016"/>
            </w:tabs>
            <w:spacing w:line="276" w:lineRule="auto"/>
            <w:rPr>
              <w:rFonts w:asciiTheme="minorHAnsi" w:hAnsiTheme="minorHAnsi" w:cstheme="minorBidi"/>
              <w:noProof/>
              <w:color w:val="auto"/>
              <w:sz w:val="22"/>
              <w:szCs w:val="22"/>
            </w:rPr>
          </w:pPr>
          <w:hyperlink w:anchor="_Toc134530368" w:history="1">
            <w:r w:rsidR="003D32F5" w:rsidRPr="001549FD">
              <w:rPr>
                <w:rStyle w:val="Hyperlink"/>
                <w:noProof/>
              </w:rPr>
              <w:t>5.</w:t>
            </w:r>
            <w:r w:rsidR="003D32F5">
              <w:rPr>
                <w:rFonts w:asciiTheme="minorHAnsi" w:hAnsiTheme="minorHAnsi" w:cstheme="minorBidi"/>
                <w:noProof/>
                <w:color w:val="auto"/>
                <w:sz w:val="22"/>
                <w:szCs w:val="22"/>
              </w:rPr>
              <w:tab/>
            </w:r>
            <w:r w:rsidR="003D32F5" w:rsidRPr="001549FD">
              <w:rPr>
                <w:rStyle w:val="Hyperlink"/>
                <w:noProof/>
              </w:rPr>
              <w:t>Dosimetery Protocol No. 4: Hand and Foot</w:t>
            </w:r>
            <w:r w:rsidR="003D32F5">
              <w:rPr>
                <w:noProof/>
                <w:webHidden/>
              </w:rPr>
              <w:tab/>
            </w:r>
            <w:r w:rsidR="003D32F5">
              <w:rPr>
                <w:noProof/>
                <w:webHidden/>
              </w:rPr>
              <w:fldChar w:fldCharType="begin"/>
            </w:r>
            <w:r w:rsidR="003D32F5">
              <w:rPr>
                <w:noProof/>
                <w:webHidden/>
              </w:rPr>
              <w:instrText xml:space="preserve"> PAGEREF _Toc134530368 \h </w:instrText>
            </w:r>
            <w:r w:rsidR="003D32F5">
              <w:rPr>
                <w:noProof/>
                <w:webHidden/>
              </w:rPr>
            </w:r>
            <w:r w:rsidR="003D32F5">
              <w:rPr>
                <w:noProof/>
                <w:webHidden/>
              </w:rPr>
              <w:fldChar w:fldCharType="separate"/>
            </w:r>
            <w:r w:rsidR="003C1A07">
              <w:rPr>
                <w:noProof/>
                <w:webHidden/>
              </w:rPr>
              <w:t>11</w:t>
            </w:r>
            <w:r w:rsidR="003D32F5">
              <w:rPr>
                <w:noProof/>
                <w:webHidden/>
              </w:rPr>
              <w:fldChar w:fldCharType="end"/>
            </w:r>
          </w:hyperlink>
        </w:p>
        <w:p w14:paraId="228043CD" w14:textId="79D24481" w:rsidR="003D32F5" w:rsidRDefault="007E64F7" w:rsidP="001562F1">
          <w:pPr>
            <w:pStyle w:val="TOC1"/>
            <w:tabs>
              <w:tab w:val="left" w:pos="440"/>
              <w:tab w:val="right" w:leader="dot" w:pos="9016"/>
            </w:tabs>
            <w:spacing w:line="276" w:lineRule="auto"/>
            <w:rPr>
              <w:rFonts w:asciiTheme="minorHAnsi" w:hAnsiTheme="minorHAnsi" w:cstheme="minorBidi"/>
              <w:noProof/>
              <w:color w:val="auto"/>
              <w:sz w:val="22"/>
              <w:szCs w:val="22"/>
            </w:rPr>
          </w:pPr>
          <w:hyperlink w:anchor="_Toc134530369" w:history="1">
            <w:r w:rsidR="003D32F5" w:rsidRPr="001549FD">
              <w:rPr>
                <w:rStyle w:val="Hyperlink"/>
                <w:noProof/>
              </w:rPr>
              <w:t>6.</w:t>
            </w:r>
            <w:r w:rsidR="003D32F5">
              <w:rPr>
                <w:rFonts w:asciiTheme="minorHAnsi" w:hAnsiTheme="minorHAnsi" w:cstheme="minorBidi"/>
                <w:noProof/>
                <w:color w:val="auto"/>
                <w:sz w:val="22"/>
                <w:szCs w:val="22"/>
              </w:rPr>
              <w:tab/>
            </w:r>
            <w:r w:rsidR="003D32F5" w:rsidRPr="001549FD">
              <w:rPr>
                <w:rStyle w:val="Hyperlink"/>
                <w:noProof/>
              </w:rPr>
              <w:t>Dosimetery Protocol No. 5: Psoracomb</w:t>
            </w:r>
            <w:r w:rsidR="003D32F5">
              <w:rPr>
                <w:noProof/>
                <w:webHidden/>
              </w:rPr>
              <w:tab/>
            </w:r>
            <w:r w:rsidR="003D32F5">
              <w:rPr>
                <w:noProof/>
                <w:webHidden/>
              </w:rPr>
              <w:fldChar w:fldCharType="begin"/>
            </w:r>
            <w:r w:rsidR="003D32F5">
              <w:rPr>
                <w:noProof/>
                <w:webHidden/>
              </w:rPr>
              <w:instrText xml:space="preserve"> PAGEREF _Toc134530369 \h </w:instrText>
            </w:r>
            <w:r w:rsidR="003D32F5">
              <w:rPr>
                <w:noProof/>
                <w:webHidden/>
              </w:rPr>
            </w:r>
            <w:r w:rsidR="003D32F5">
              <w:rPr>
                <w:noProof/>
                <w:webHidden/>
              </w:rPr>
              <w:fldChar w:fldCharType="separate"/>
            </w:r>
            <w:r w:rsidR="003C1A07">
              <w:rPr>
                <w:noProof/>
                <w:webHidden/>
              </w:rPr>
              <w:t>13</w:t>
            </w:r>
            <w:r w:rsidR="003D32F5">
              <w:rPr>
                <w:noProof/>
                <w:webHidden/>
              </w:rPr>
              <w:fldChar w:fldCharType="end"/>
            </w:r>
          </w:hyperlink>
        </w:p>
        <w:p w14:paraId="7E2DDB22" w14:textId="527951E2" w:rsidR="003A4B82" w:rsidRPr="003A4B82" w:rsidRDefault="003A4B82" w:rsidP="001562F1">
          <w:pPr>
            <w:spacing w:line="276" w:lineRule="auto"/>
            <w:rPr>
              <w:sz w:val="28"/>
              <w:szCs w:val="28"/>
            </w:rPr>
          </w:pPr>
          <w:r w:rsidRPr="003A4B82">
            <w:rPr>
              <w:b/>
              <w:bCs/>
              <w:noProof/>
              <w:sz w:val="28"/>
              <w:szCs w:val="28"/>
            </w:rPr>
            <w:fldChar w:fldCharType="end"/>
          </w:r>
        </w:p>
      </w:sdtContent>
    </w:sdt>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42"/>
        <w:gridCol w:w="2488"/>
        <w:gridCol w:w="5386"/>
      </w:tblGrid>
      <w:tr w:rsidR="001562F1" w:rsidRPr="001562F1" w14:paraId="30B0D3E8" w14:textId="77777777" w:rsidTr="00DE74FA">
        <w:trPr>
          <w:trHeight w:val="482"/>
        </w:trPr>
        <w:tc>
          <w:tcPr>
            <w:tcW w:w="633" w:type="pct"/>
            <w:shd w:val="clear" w:color="auto" w:fill="004785"/>
            <w:vAlign w:val="center"/>
          </w:tcPr>
          <w:p w14:paraId="7981D7BB" w14:textId="77777777" w:rsidR="001562F1" w:rsidRPr="001562F1" w:rsidRDefault="001562F1" w:rsidP="001562F1">
            <w:pPr>
              <w:spacing w:after="200" w:line="276" w:lineRule="auto"/>
              <w:rPr>
                <w:rFonts w:eastAsiaTheme="minorHAnsi"/>
                <w:b/>
                <w:bCs/>
                <w:color w:val="auto"/>
                <w:lang w:eastAsia="en-US"/>
              </w:rPr>
            </w:pPr>
            <w:r w:rsidRPr="001562F1">
              <w:rPr>
                <w:rFonts w:eastAsiaTheme="minorHAnsi"/>
                <w:b/>
                <w:bCs/>
                <w:color w:val="auto"/>
                <w:lang w:eastAsia="en-US"/>
              </w:rPr>
              <w:t>Version</w:t>
            </w:r>
          </w:p>
        </w:tc>
        <w:tc>
          <w:tcPr>
            <w:tcW w:w="1380" w:type="pct"/>
            <w:shd w:val="clear" w:color="auto" w:fill="004785"/>
            <w:vAlign w:val="center"/>
          </w:tcPr>
          <w:p w14:paraId="053E13A7" w14:textId="77777777" w:rsidR="001562F1" w:rsidRPr="001562F1" w:rsidRDefault="001562F1" w:rsidP="001562F1">
            <w:pPr>
              <w:spacing w:after="200" w:line="276" w:lineRule="auto"/>
              <w:rPr>
                <w:rFonts w:eastAsiaTheme="minorHAnsi"/>
                <w:b/>
                <w:bCs/>
                <w:color w:val="auto"/>
                <w:lang w:eastAsia="en-US"/>
              </w:rPr>
            </w:pPr>
            <w:r w:rsidRPr="001562F1">
              <w:rPr>
                <w:rFonts w:eastAsiaTheme="minorHAnsi"/>
                <w:b/>
                <w:bCs/>
                <w:color w:val="auto"/>
                <w:lang w:eastAsia="en-US"/>
              </w:rPr>
              <w:t>Date of revision</w:t>
            </w:r>
          </w:p>
        </w:tc>
        <w:tc>
          <w:tcPr>
            <w:tcW w:w="2987" w:type="pct"/>
            <w:shd w:val="clear" w:color="auto" w:fill="004785"/>
            <w:vAlign w:val="center"/>
          </w:tcPr>
          <w:p w14:paraId="3984A4BE" w14:textId="77777777" w:rsidR="001562F1" w:rsidRPr="001562F1" w:rsidRDefault="001562F1" w:rsidP="001562F1">
            <w:pPr>
              <w:spacing w:after="200" w:line="276" w:lineRule="auto"/>
              <w:ind w:right="-246"/>
              <w:rPr>
                <w:rFonts w:eastAsiaTheme="minorHAnsi"/>
                <w:b/>
                <w:bCs/>
                <w:color w:val="auto"/>
                <w:lang w:eastAsia="en-US"/>
              </w:rPr>
            </w:pPr>
            <w:r w:rsidRPr="001562F1">
              <w:rPr>
                <w:rFonts w:eastAsiaTheme="minorHAnsi"/>
                <w:b/>
                <w:bCs/>
                <w:color w:val="auto"/>
                <w:lang w:eastAsia="en-US"/>
              </w:rPr>
              <w:t>Summary of changes</w:t>
            </w:r>
          </w:p>
        </w:tc>
      </w:tr>
      <w:tr w:rsidR="001562F1" w:rsidRPr="001562F1" w14:paraId="54D1DC46" w14:textId="77777777" w:rsidTr="00DE74FA">
        <w:tc>
          <w:tcPr>
            <w:tcW w:w="633" w:type="pct"/>
          </w:tcPr>
          <w:p w14:paraId="0ABE3EAE" w14:textId="77777777" w:rsidR="001562F1" w:rsidRPr="001562F1" w:rsidRDefault="001562F1" w:rsidP="001562F1">
            <w:pPr>
              <w:spacing w:after="200" w:line="276" w:lineRule="auto"/>
              <w:rPr>
                <w:rFonts w:eastAsiaTheme="minorHAnsi"/>
                <w:color w:val="auto"/>
                <w:lang w:eastAsia="en-US"/>
              </w:rPr>
            </w:pPr>
            <w:r w:rsidRPr="001562F1">
              <w:rPr>
                <w:rFonts w:eastAsiaTheme="minorHAnsi"/>
                <w:color w:val="auto"/>
                <w:lang w:eastAsia="en-US"/>
              </w:rPr>
              <w:t>V5</w:t>
            </w:r>
          </w:p>
        </w:tc>
        <w:tc>
          <w:tcPr>
            <w:tcW w:w="1380" w:type="pct"/>
          </w:tcPr>
          <w:p w14:paraId="3F77530E" w14:textId="77777777" w:rsidR="001562F1" w:rsidRPr="001562F1" w:rsidRDefault="001562F1" w:rsidP="001562F1">
            <w:pPr>
              <w:spacing w:after="200" w:line="276" w:lineRule="auto"/>
              <w:rPr>
                <w:rFonts w:eastAsiaTheme="minorHAnsi"/>
                <w:color w:val="auto"/>
                <w:lang w:eastAsia="en-US"/>
              </w:rPr>
            </w:pPr>
            <w:r w:rsidRPr="001562F1">
              <w:rPr>
                <w:rFonts w:eastAsiaTheme="minorHAnsi"/>
                <w:color w:val="auto"/>
                <w:lang w:eastAsia="en-US"/>
              </w:rPr>
              <w:t>October 2022</w:t>
            </w:r>
          </w:p>
        </w:tc>
        <w:tc>
          <w:tcPr>
            <w:tcW w:w="2987" w:type="pct"/>
          </w:tcPr>
          <w:p w14:paraId="5FBA229D" w14:textId="77777777" w:rsidR="001562F1" w:rsidRPr="001562F1" w:rsidRDefault="001562F1" w:rsidP="001562F1">
            <w:pPr>
              <w:numPr>
                <w:ilvl w:val="0"/>
                <w:numId w:val="21"/>
              </w:numPr>
              <w:spacing w:line="276" w:lineRule="auto"/>
              <w:contextualSpacing/>
              <w:rPr>
                <w:color w:val="auto"/>
              </w:rPr>
            </w:pPr>
            <w:r w:rsidRPr="001562F1">
              <w:rPr>
                <w:color w:val="auto"/>
              </w:rPr>
              <w:t xml:space="preserve">Protocol No 2, Indirect method: literature on potential indirect measurement techniques added </w:t>
            </w:r>
          </w:p>
          <w:p w14:paraId="02CEDBC6" w14:textId="77777777" w:rsidR="001562F1" w:rsidRPr="001562F1" w:rsidRDefault="001562F1" w:rsidP="001562F1">
            <w:pPr>
              <w:numPr>
                <w:ilvl w:val="0"/>
                <w:numId w:val="21"/>
              </w:numPr>
              <w:spacing w:line="276" w:lineRule="auto"/>
              <w:contextualSpacing/>
              <w:rPr>
                <w:color w:val="auto"/>
              </w:rPr>
            </w:pPr>
            <w:r w:rsidRPr="001562F1">
              <w:rPr>
                <w:color w:val="auto"/>
              </w:rPr>
              <w:t>Sentence added to point 2 to read: ‘</w:t>
            </w:r>
            <w:r w:rsidRPr="001562F1">
              <w:rPr>
                <w:i/>
                <w:iCs/>
                <w:color w:val="auto"/>
              </w:rPr>
              <w:t>The DIR is likely to vary depending on the phototherapy cabinet. A home phototherapy unit will have a very different DIR to a full body phototherapy cabinet’</w:t>
            </w:r>
          </w:p>
        </w:tc>
      </w:tr>
      <w:tr w:rsidR="001562F1" w:rsidRPr="001562F1" w14:paraId="12092EBE" w14:textId="77777777" w:rsidTr="00DE74FA">
        <w:tc>
          <w:tcPr>
            <w:tcW w:w="633" w:type="pct"/>
          </w:tcPr>
          <w:p w14:paraId="11FC3CC1" w14:textId="77777777" w:rsidR="001562F1" w:rsidRPr="001562F1" w:rsidRDefault="001562F1" w:rsidP="001562F1">
            <w:pPr>
              <w:spacing w:after="200" w:line="276" w:lineRule="auto"/>
              <w:rPr>
                <w:rFonts w:eastAsiaTheme="minorHAnsi"/>
                <w:color w:val="auto"/>
                <w:lang w:eastAsia="en-US"/>
              </w:rPr>
            </w:pPr>
            <w:r w:rsidRPr="001562F1">
              <w:rPr>
                <w:rFonts w:eastAsiaTheme="minorHAnsi"/>
                <w:color w:val="auto"/>
                <w:lang w:eastAsia="en-US"/>
              </w:rPr>
              <w:t>V6</w:t>
            </w:r>
          </w:p>
        </w:tc>
        <w:tc>
          <w:tcPr>
            <w:tcW w:w="1380" w:type="pct"/>
          </w:tcPr>
          <w:p w14:paraId="14B381FF" w14:textId="77777777" w:rsidR="001562F1" w:rsidRPr="001562F1" w:rsidRDefault="001562F1" w:rsidP="001562F1">
            <w:pPr>
              <w:spacing w:after="200" w:line="276" w:lineRule="auto"/>
              <w:rPr>
                <w:rFonts w:eastAsiaTheme="minorHAnsi"/>
                <w:color w:val="auto"/>
                <w:lang w:eastAsia="en-US"/>
              </w:rPr>
            </w:pPr>
            <w:r w:rsidRPr="001562F1">
              <w:rPr>
                <w:rFonts w:eastAsiaTheme="minorHAnsi"/>
                <w:color w:val="auto"/>
                <w:lang w:eastAsia="en-US"/>
              </w:rPr>
              <w:t>May 2023</w:t>
            </w:r>
          </w:p>
        </w:tc>
        <w:tc>
          <w:tcPr>
            <w:tcW w:w="2987" w:type="pct"/>
          </w:tcPr>
          <w:p w14:paraId="58AFF657" w14:textId="77777777" w:rsidR="001562F1" w:rsidRDefault="001562F1" w:rsidP="001562F1">
            <w:pPr>
              <w:spacing w:line="276" w:lineRule="auto"/>
              <w:rPr>
                <w:rFonts w:eastAsiaTheme="minorHAnsi"/>
                <w:color w:val="auto"/>
                <w:lang w:eastAsia="en-US"/>
              </w:rPr>
            </w:pPr>
            <w:r w:rsidRPr="001562F1">
              <w:rPr>
                <w:rFonts w:eastAsiaTheme="minorHAnsi"/>
                <w:color w:val="auto"/>
                <w:lang w:eastAsia="en-US"/>
              </w:rPr>
              <w:t xml:space="preserve">Above changes made and sent to </w:t>
            </w:r>
            <w:proofErr w:type="spellStart"/>
            <w:r w:rsidRPr="001562F1">
              <w:rPr>
                <w:rFonts w:eastAsiaTheme="minorHAnsi"/>
                <w:color w:val="auto"/>
                <w:lang w:eastAsia="en-US"/>
              </w:rPr>
              <w:t>QPulse</w:t>
            </w:r>
            <w:proofErr w:type="spellEnd"/>
            <w:r w:rsidRPr="001562F1">
              <w:rPr>
                <w:rFonts w:eastAsiaTheme="minorHAnsi"/>
                <w:color w:val="auto"/>
                <w:lang w:eastAsia="en-US"/>
              </w:rPr>
              <w:t xml:space="preserve"> to be uploaded to </w:t>
            </w:r>
            <w:proofErr w:type="spellStart"/>
            <w:r w:rsidRPr="001562F1">
              <w:rPr>
                <w:rFonts w:eastAsiaTheme="minorHAnsi"/>
                <w:color w:val="auto"/>
                <w:lang w:eastAsia="en-US"/>
              </w:rPr>
              <w:t>Photonet</w:t>
            </w:r>
            <w:proofErr w:type="spellEnd"/>
            <w:r w:rsidRPr="001562F1">
              <w:rPr>
                <w:rFonts w:eastAsiaTheme="minorHAnsi"/>
                <w:color w:val="auto"/>
                <w:lang w:eastAsia="en-US"/>
              </w:rPr>
              <w:t xml:space="preserve"> Website.</w:t>
            </w:r>
          </w:p>
          <w:p w14:paraId="5AD15838" w14:textId="77777777" w:rsidR="00DD51CA" w:rsidRDefault="00DD51CA" w:rsidP="001562F1">
            <w:pPr>
              <w:spacing w:line="276" w:lineRule="auto"/>
              <w:rPr>
                <w:rFonts w:eastAsiaTheme="minorHAnsi"/>
                <w:color w:val="auto"/>
                <w:lang w:eastAsia="en-US"/>
              </w:rPr>
            </w:pPr>
            <w:r>
              <w:rPr>
                <w:rFonts w:eastAsiaTheme="minorHAnsi"/>
                <w:color w:val="auto"/>
                <w:lang w:eastAsia="en-US"/>
              </w:rPr>
              <w:t>Formatting update</w:t>
            </w:r>
          </w:p>
          <w:p w14:paraId="458ECADC" w14:textId="395943FB" w:rsidR="00DD51CA" w:rsidRPr="001562F1" w:rsidRDefault="00DD51CA" w:rsidP="001562F1">
            <w:pPr>
              <w:spacing w:line="276" w:lineRule="auto"/>
              <w:rPr>
                <w:rFonts w:eastAsiaTheme="minorHAnsi"/>
                <w:color w:val="auto"/>
                <w:lang w:eastAsia="en-US"/>
              </w:rPr>
            </w:pPr>
            <w:r>
              <w:rPr>
                <w:rFonts w:eastAsiaTheme="minorHAnsi"/>
                <w:color w:val="auto"/>
                <w:lang w:eastAsia="en-US"/>
              </w:rPr>
              <w:t>Accessibility update</w:t>
            </w:r>
          </w:p>
        </w:tc>
      </w:tr>
    </w:tbl>
    <w:p w14:paraId="5B20C576" w14:textId="6A2F9A9F" w:rsidR="003A4B82" w:rsidRDefault="005A1EDC" w:rsidP="001562F1">
      <w:pPr>
        <w:pStyle w:val="Heading1"/>
      </w:pPr>
      <w:r>
        <w:br w:type="page"/>
      </w:r>
      <w:bookmarkStart w:id="1" w:name="_Toc134530356"/>
      <w:r w:rsidR="00F225AE" w:rsidRPr="00F225AE">
        <w:lastRenderedPageBreak/>
        <w:t>Safety</w:t>
      </w:r>
      <w:bookmarkEnd w:id="1"/>
    </w:p>
    <w:p w14:paraId="6CA72B7B" w14:textId="77777777" w:rsidR="00F225AE" w:rsidRPr="000A2428" w:rsidRDefault="00F225AE" w:rsidP="001562F1">
      <w:pPr>
        <w:pStyle w:val="ListParagraph"/>
        <w:numPr>
          <w:ilvl w:val="1"/>
          <w:numId w:val="2"/>
        </w:numPr>
        <w:ind w:left="709" w:hanging="425"/>
        <w:contextualSpacing w:val="0"/>
      </w:pPr>
      <w:r w:rsidRPr="000A2428">
        <w:t>Ultra-violet radiation is potentially harmful.</w:t>
      </w:r>
    </w:p>
    <w:p w14:paraId="643BF455" w14:textId="77777777" w:rsidR="00F225AE" w:rsidRPr="000A2428" w:rsidRDefault="00F225AE" w:rsidP="001562F1">
      <w:pPr>
        <w:pStyle w:val="ListParagraph"/>
        <w:numPr>
          <w:ilvl w:val="1"/>
          <w:numId w:val="2"/>
        </w:numPr>
        <w:ind w:left="709" w:hanging="425"/>
      </w:pPr>
      <w:r w:rsidRPr="000A2428">
        <w:t>An appropriate risk assessment should detail the risks and control measures for the task being undertaken. Controls should follow the Hierarchy of Control Measures. Staff must abide by the control measures detailed in the risk assessment and any associated Local Rules.</w:t>
      </w:r>
    </w:p>
    <w:p w14:paraId="6B195B62" w14:textId="77777777" w:rsidR="00F225AE" w:rsidRPr="000A2428" w:rsidRDefault="00F225AE" w:rsidP="001562F1">
      <w:pPr>
        <w:pStyle w:val="ListParagraph"/>
        <w:numPr>
          <w:ilvl w:val="1"/>
          <w:numId w:val="2"/>
        </w:numPr>
        <w:ind w:left="709" w:hanging="425"/>
        <w:contextualSpacing w:val="0"/>
      </w:pPr>
      <w:r w:rsidRPr="000A2428">
        <w:t>Safety guidelines should be issued to cover all staff working in the vicinity of the treatment units.</w:t>
      </w:r>
    </w:p>
    <w:p w14:paraId="46D3BE21" w14:textId="77777777" w:rsidR="00F225AE" w:rsidRPr="000A2428" w:rsidRDefault="00F225AE" w:rsidP="001562F1">
      <w:pPr>
        <w:pStyle w:val="ListParagraph"/>
        <w:numPr>
          <w:ilvl w:val="1"/>
          <w:numId w:val="2"/>
        </w:numPr>
        <w:ind w:left="709" w:hanging="425"/>
        <w:contextualSpacing w:val="0"/>
      </w:pPr>
      <w:r w:rsidRPr="000A2428">
        <w:t>Staff should exercise prudent avoidance and ensure that skin and eyes are not exposed unnecessarily to ultra-violet radiation.</w:t>
      </w:r>
    </w:p>
    <w:p w14:paraId="4431D7D2" w14:textId="49788616" w:rsidR="00F225AE" w:rsidRDefault="00F225AE" w:rsidP="001562F1">
      <w:pPr>
        <w:pStyle w:val="ListParagraph"/>
        <w:numPr>
          <w:ilvl w:val="1"/>
          <w:numId w:val="2"/>
        </w:numPr>
        <w:ind w:left="709" w:hanging="425"/>
      </w:pPr>
      <w:r w:rsidRPr="000A2428">
        <w:t>PPE should not be relied upon as the only control measure however appropriate PPE (goggles, gloves, sleeves, face shields) can be useful and is often required when carrying out dosimetry.</w:t>
      </w:r>
    </w:p>
    <w:p w14:paraId="2FBCD209" w14:textId="734EB053" w:rsidR="00F225AE" w:rsidRDefault="00F225AE" w:rsidP="00F225AE"/>
    <w:p w14:paraId="2CCF66E0" w14:textId="4B17594A" w:rsidR="00F225AE" w:rsidRPr="000A2428" w:rsidRDefault="00F225AE" w:rsidP="001562F1">
      <w:pPr>
        <w:pStyle w:val="Heading1"/>
      </w:pPr>
      <w:bookmarkStart w:id="2" w:name="_Toc134530357"/>
      <w:r>
        <w:t>Dosimetry Protocol No.1: Meter Calibration</w:t>
      </w:r>
      <w:bookmarkEnd w:id="2"/>
    </w:p>
    <w:p w14:paraId="6F23BDC0" w14:textId="77777777" w:rsidR="00F225AE" w:rsidRPr="00F225AE" w:rsidRDefault="00F225AE" w:rsidP="00F225AE">
      <w:pPr>
        <w:jc w:val="both"/>
        <w:rPr>
          <w:rFonts w:eastAsiaTheme="minorHAnsi"/>
          <w:color w:val="auto"/>
          <w:lang w:eastAsia="en-US"/>
        </w:rPr>
      </w:pPr>
      <w:r w:rsidRPr="00F225AE">
        <w:rPr>
          <w:rFonts w:eastAsiaTheme="minorHAnsi"/>
          <w:color w:val="auto"/>
          <w:lang w:eastAsia="en-US"/>
        </w:rPr>
        <w:t xml:space="preserve">Meter calibration should take account of the Scottish UV Dosimetry Guidelines </w:t>
      </w:r>
      <w:r w:rsidRPr="00F225AE">
        <w:rPr>
          <w:rFonts w:eastAsiaTheme="minorHAnsi"/>
          <w:i/>
          <w:iCs/>
          <w:color w:val="auto"/>
          <w:lang w:eastAsia="en-US"/>
        </w:rPr>
        <w:t>(</w:t>
      </w:r>
      <w:proofErr w:type="spellStart"/>
      <w:r w:rsidRPr="00F225AE">
        <w:rPr>
          <w:rFonts w:eastAsiaTheme="minorHAnsi"/>
          <w:i/>
          <w:iCs/>
          <w:color w:val="auto"/>
          <w:lang w:eastAsia="en-US"/>
        </w:rPr>
        <w:t>Photodermatology</w:t>
      </w:r>
      <w:proofErr w:type="spellEnd"/>
      <w:r w:rsidRPr="00F225AE">
        <w:rPr>
          <w:rFonts w:eastAsiaTheme="minorHAnsi"/>
          <w:i/>
          <w:iCs/>
          <w:color w:val="auto"/>
          <w:lang w:eastAsia="en-US"/>
        </w:rPr>
        <w:t xml:space="preserve">, </w:t>
      </w:r>
      <w:proofErr w:type="spellStart"/>
      <w:r w:rsidRPr="00F225AE">
        <w:rPr>
          <w:rFonts w:eastAsiaTheme="minorHAnsi"/>
          <w:i/>
          <w:iCs/>
          <w:color w:val="auto"/>
          <w:lang w:eastAsia="en-US"/>
        </w:rPr>
        <w:t>Photoimmunology</w:t>
      </w:r>
      <w:proofErr w:type="spellEnd"/>
      <w:r w:rsidRPr="00F225AE">
        <w:rPr>
          <w:rFonts w:eastAsiaTheme="minorHAnsi"/>
          <w:i/>
          <w:iCs/>
          <w:color w:val="auto"/>
          <w:lang w:eastAsia="en-US"/>
        </w:rPr>
        <w:t xml:space="preserve"> &amp; Photomedicine</w:t>
      </w:r>
      <w:r w:rsidRPr="00F225AE">
        <w:rPr>
          <w:rFonts w:eastAsiaTheme="minorHAnsi"/>
          <w:color w:val="auto"/>
          <w:lang w:eastAsia="en-US"/>
        </w:rPr>
        <w:t xml:space="preserve"> 17:230-233, 2001) and the Guidelines on the measurement of ultraviolet radiation levels in ultraviolet phototherapy: report issued by the British Association of Dermatologists and British </w:t>
      </w:r>
      <w:proofErr w:type="spellStart"/>
      <w:r w:rsidRPr="00F225AE">
        <w:rPr>
          <w:rFonts w:eastAsiaTheme="minorHAnsi"/>
          <w:color w:val="auto"/>
          <w:lang w:eastAsia="en-US"/>
        </w:rPr>
        <w:t>Photodermatology</w:t>
      </w:r>
      <w:proofErr w:type="spellEnd"/>
      <w:r w:rsidRPr="00F225AE">
        <w:rPr>
          <w:rFonts w:eastAsiaTheme="minorHAnsi"/>
          <w:color w:val="auto"/>
          <w:lang w:eastAsia="en-US"/>
        </w:rPr>
        <w:t xml:space="preserve"> Group 2015 (</w:t>
      </w:r>
      <w:r w:rsidRPr="00F225AE">
        <w:rPr>
          <w:rFonts w:eastAsiaTheme="minorHAnsi"/>
          <w:i/>
          <w:color w:val="auto"/>
          <w:lang w:eastAsia="en-US"/>
        </w:rPr>
        <w:t xml:space="preserve">British Journal of Dermatology. </w:t>
      </w:r>
      <w:proofErr w:type="gramStart"/>
      <w:r w:rsidRPr="00F225AE">
        <w:rPr>
          <w:rFonts w:eastAsiaTheme="minorHAnsi"/>
          <w:i/>
          <w:color w:val="auto"/>
          <w:lang w:eastAsia="en-US"/>
        </w:rPr>
        <w:t>2015;173:333</w:t>
      </w:r>
      <w:proofErr w:type="gramEnd"/>
      <w:r w:rsidRPr="00F225AE">
        <w:rPr>
          <w:rFonts w:eastAsiaTheme="minorHAnsi"/>
          <w:i/>
          <w:color w:val="auto"/>
          <w:lang w:eastAsia="en-US"/>
        </w:rPr>
        <w:t>-350</w:t>
      </w:r>
      <w:r w:rsidRPr="00F225AE">
        <w:rPr>
          <w:rFonts w:eastAsiaTheme="minorHAnsi"/>
          <w:color w:val="auto"/>
          <w:lang w:eastAsia="en-US"/>
        </w:rPr>
        <w:t>). The meter may be sent to a calibration laboratory or calibrated in-house using either a lamp-based or detector-based technique. Calibration must be traceable to SI units via a National Measurement Institute (for example the National Physical Laboratory in the UK).</w:t>
      </w:r>
    </w:p>
    <w:p w14:paraId="4933588C" w14:textId="77777777" w:rsidR="00F225AE" w:rsidRPr="00F225AE" w:rsidRDefault="00F225AE" w:rsidP="00F225AE">
      <w:pPr>
        <w:jc w:val="both"/>
        <w:rPr>
          <w:rFonts w:eastAsiaTheme="minorHAnsi"/>
          <w:color w:val="auto"/>
          <w:lang w:eastAsia="en-US"/>
        </w:rPr>
      </w:pPr>
    </w:p>
    <w:p w14:paraId="51D8DEFB" w14:textId="43F99C8F" w:rsidR="00F225AE" w:rsidRPr="00F225AE" w:rsidRDefault="00F225AE" w:rsidP="001562F1">
      <w:pPr>
        <w:pStyle w:val="Heading2"/>
        <w:numPr>
          <w:ilvl w:val="1"/>
          <w:numId w:val="20"/>
        </w:numPr>
        <w:ind w:left="426" w:hanging="426"/>
      </w:pPr>
      <w:bookmarkStart w:id="3" w:name="_Toc134530358"/>
      <w:r w:rsidRPr="00F225AE">
        <w:t>Calibration Laboratory</w:t>
      </w:r>
      <w:bookmarkEnd w:id="3"/>
    </w:p>
    <w:p w14:paraId="07EF2126" w14:textId="77777777" w:rsidR="00F225AE" w:rsidRPr="00F225AE" w:rsidRDefault="00F225AE" w:rsidP="001562F1">
      <w:pPr>
        <w:numPr>
          <w:ilvl w:val="0"/>
          <w:numId w:val="3"/>
        </w:numPr>
        <w:tabs>
          <w:tab w:val="num" w:pos="709"/>
        </w:tabs>
        <w:ind w:left="709" w:hanging="425"/>
        <w:jc w:val="both"/>
        <w:rPr>
          <w:rFonts w:eastAsiaTheme="minorHAnsi"/>
          <w:color w:val="auto"/>
          <w:lang w:eastAsia="en-US"/>
        </w:rPr>
      </w:pPr>
      <w:r w:rsidRPr="00F225AE">
        <w:rPr>
          <w:rFonts w:eastAsiaTheme="minorHAnsi"/>
          <w:color w:val="auto"/>
          <w:lang w:eastAsia="en-US"/>
        </w:rPr>
        <w:t xml:space="preserve">The Calibration Laboratory should perform the calibration as described in the outline below. These are not detailed </w:t>
      </w:r>
      <w:proofErr w:type="gramStart"/>
      <w:r w:rsidRPr="00F225AE">
        <w:rPr>
          <w:rFonts w:eastAsiaTheme="minorHAnsi"/>
          <w:color w:val="auto"/>
          <w:lang w:eastAsia="en-US"/>
        </w:rPr>
        <w:t>protocols</w:t>
      </w:r>
      <w:proofErr w:type="gramEnd"/>
      <w:r w:rsidRPr="00F225AE">
        <w:rPr>
          <w:rFonts w:eastAsiaTheme="minorHAnsi"/>
          <w:color w:val="auto"/>
          <w:lang w:eastAsia="en-US"/>
        </w:rPr>
        <w:t xml:space="preserve"> and it is essential that calibration is overseen by a competent physicist who is knowledgeable in ultra-violet radiation dosimetry.</w:t>
      </w:r>
    </w:p>
    <w:p w14:paraId="7BD759BC" w14:textId="77777777" w:rsidR="00F225AE" w:rsidRPr="00F225AE" w:rsidRDefault="00F225AE" w:rsidP="001562F1">
      <w:pPr>
        <w:numPr>
          <w:ilvl w:val="0"/>
          <w:numId w:val="3"/>
        </w:numPr>
        <w:tabs>
          <w:tab w:val="num" w:pos="709"/>
        </w:tabs>
        <w:ind w:left="709" w:hanging="425"/>
        <w:jc w:val="both"/>
        <w:rPr>
          <w:rFonts w:eastAsiaTheme="minorHAnsi"/>
          <w:color w:val="auto"/>
          <w:lang w:eastAsia="en-US"/>
        </w:rPr>
      </w:pPr>
      <w:r w:rsidRPr="00F225AE">
        <w:rPr>
          <w:rFonts w:eastAsiaTheme="minorHAnsi"/>
          <w:color w:val="auto"/>
          <w:lang w:eastAsia="en-US"/>
        </w:rPr>
        <w:t>The laboratory should have a quality assurance system compliant with ISO / IEC 17025 – General requirements for the competence of testing and calibration laboratories.</w:t>
      </w:r>
    </w:p>
    <w:p w14:paraId="0F9A8493" w14:textId="77777777" w:rsidR="00F225AE" w:rsidRPr="00F225AE" w:rsidRDefault="00F225AE" w:rsidP="00F225AE">
      <w:pPr>
        <w:jc w:val="both"/>
        <w:rPr>
          <w:rFonts w:eastAsiaTheme="minorHAnsi"/>
          <w:color w:val="auto"/>
          <w:lang w:eastAsia="en-US"/>
        </w:rPr>
      </w:pPr>
    </w:p>
    <w:p w14:paraId="35DCB7DF" w14:textId="77777777" w:rsidR="00F225AE" w:rsidRPr="00F225AE" w:rsidRDefault="00F225AE" w:rsidP="00F225AE">
      <w:pPr>
        <w:pStyle w:val="Heading2"/>
      </w:pPr>
      <w:bookmarkStart w:id="4" w:name="_Toc134530359"/>
      <w:r w:rsidRPr="00F225AE">
        <w:t xml:space="preserve">(b)  </w:t>
      </w:r>
      <w:r w:rsidRPr="00F225AE">
        <w:tab/>
        <w:t>Lamp-based Calibration</w:t>
      </w:r>
      <w:bookmarkEnd w:id="4"/>
    </w:p>
    <w:p w14:paraId="6F86AFE3" w14:textId="77777777" w:rsidR="00F225AE" w:rsidRPr="00F225AE" w:rsidRDefault="00F225AE" w:rsidP="001562F1">
      <w:pPr>
        <w:numPr>
          <w:ilvl w:val="0"/>
          <w:numId w:val="4"/>
        </w:numPr>
        <w:tabs>
          <w:tab w:val="clear" w:pos="360"/>
          <w:tab w:val="num" w:pos="709"/>
        </w:tabs>
        <w:ind w:left="709" w:hanging="425"/>
        <w:jc w:val="both"/>
        <w:rPr>
          <w:rFonts w:eastAsiaTheme="minorHAnsi"/>
          <w:color w:val="auto"/>
          <w:lang w:eastAsia="en-US"/>
        </w:rPr>
      </w:pPr>
      <w:r w:rsidRPr="00F225AE">
        <w:rPr>
          <w:rFonts w:eastAsiaTheme="minorHAnsi"/>
          <w:color w:val="auto"/>
          <w:lang w:eastAsia="en-US"/>
        </w:rPr>
        <w:t>Calibration should be traceable to SI units via a National Measurement Institute (for example the National Physical Laboratory in the UK).</w:t>
      </w:r>
    </w:p>
    <w:p w14:paraId="1D169B6B" w14:textId="77777777" w:rsidR="00F225AE" w:rsidRPr="00F225AE" w:rsidRDefault="00F225AE" w:rsidP="001562F1">
      <w:pPr>
        <w:numPr>
          <w:ilvl w:val="0"/>
          <w:numId w:val="4"/>
        </w:numPr>
        <w:tabs>
          <w:tab w:val="clear" w:pos="360"/>
          <w:tab w:val="num" w:pos="709"/>
        </w:tabs>
        <w:ind w:left="709" w:hanging="425"/>
        <w:jc w:val="both"/>
        <w:rPr>
          <w:rFonts w:eastAsiaTheme="minorHAnsi"/>
          <w:color w:val="auto"/>
          <w:lang w:eastAsia="en-US"/>
        </w:rPr>
      </w:pPr>
      <w:r w:rsidRPr="00F225AE">
        <w:rPr>
          <w:rFonts w:eastAsiaTheme="minorHAnsi"/>
          <w:color w:val="auto"/>
          <w:lang w:eastAsia="en-US"/>
        </w:rPr>
        <w:t xml:space="preserve">The meter must be calibrated using the same type of lamp as used clinically. </w:t>
      </w:r>
    </w:p>
    <w:p w14:paraId="07550668" w14:textId="77777777" w:rsidR="00F225AE" w:rsidRPr="00F225AE" w:rsidRDefault="00F225AE" w:rsidP="001562F1">
      <w:pPr>
        <w:numPr>
          <w:ilvl w:val="0"/>
          <w:numId w:val="4"/>
        </w:numPr>
        <w:tabs>
          <w:tab w:val="clear" w:pos="360"/>
          <w:tab w:val="num" w:pos="709"/>
        </w:tabs>
        <w:ind w:left="709" w:hanging="425"/>
        <w:jc w:val="both"/>
        <w:rPr>
          <w:rFonts w:eastAsiaTheme="minorHAnsi"/>
          <w:color w:val="auto"/>
          <w:lang w:eastAsia="en-US"/>
        </w:rPr>
      </w:pPr>
      <w:r w:rsidRPr="00F225AE">
        <w:rPr>
          <w:rFonts w:eastAsiaTheme="minorHAnsi"/>
          <w:color w:val="auto"/>
          <w:lang w:eastAsia="en-US"/>
        </w:rPr>
        <w:t>The meter should be calibrated at an irradiance that is comparable to routine measurements.</w:t>
      </w:r>
    </w:p>
    <w:p w14:paraId="63E36F8A" w14:textId="77777777" w:rsidR="00F225AE" w:rsidRPr="00F225AE" w:rsidRDefault="00F225AE" w:rsidP="001562F1">
      <w:pPr>
        <w:numPr>
          <w:ilvl w:val="0"/>
          <w:numId w:val="4"/>
        </w:numPr>
        <w:tabs>
          <w:tab w:val="clear" w:pos="360"/>
          <w:tab w:val="num" w:pos="709"/>
        </w:tabs>
        <w:ind w:left="709" w:hanging="425"/>
        <w:jc w:val="both"/>
        <w:rPr>
          <w:rFonts w:eastAsiaTheme="minorHAnsi"/>
          <w:color w:val="auto"/>
          <w:lang w:eastAsia="en-US"/>
        </w:rPr>
      </w:pPr>
      <w:r w:rsidRPr="00F225AE">
        <w:rPr>
          <w:rFonts w:eastAsiaTheme="minorHAnsi"/>
          <w:color w:val="auto"/>
          <w:lang w:eastAsia="en-US"/>
        </w:rPr>
        <w:t>The meter should be positioned at a reproducible distance from a bank of the appropriate type of UV lamps.</w:t>
      </w:r>
    </w:p>
    <w:p w14:paraId="273ADDF9" w14:textId="77777777" w:rsidR="00F225AE" w:rsidRPr="00F225AE" w:rsidRDefault="00F225AE" w:rsidP="001562F1">
      <w:pPr>
        <w:numPr>
          <w:ilvl w:val="0"/>
          <w:numId w:val="4"/>
        </w:numPr>
        <w:tabs>
          <w:tab w:val="clear" w:pos="360"/>
          <w:tab w:val="num" w:pos="709"/>
        </w:tabs>
        <w:ind w:left="709" w:hanging="425"/>
        <w:jc w:val="both"/>
        <w:rPr>
          <w:rFonts w:eastAsiaTheme="minorHAnsi"/>
          <w:color w:val="auto"/>
          <w:lang w:eastAsia="en-US"/>
        </w:rPr>
      </w:pPr>
      <w:r w:rsidRPr="00F225AE">
        <w:rPr>
          <w:rFonts w:eastAsiaTheme="minorHAnsi"/>
          <w:color w:val="auto"/>
          <w:lang w:eastAsia="en-US"/>
        </w:rPr>
        <w:t>Meter reading should be compared with that from a calibrated double grating spectroradiometer with cosine angular response (f2 error less than 5%) at a bandwidth of 1 nm or less.</w:t>
      </w:r>
    </w:p>
    <w:p w14:paraId="18624EF5" w14:textId="77777777" w:rsidR="00F225AE" w:rsidRPr="00F225AE" w:rsidRDefault="00F225AE" w:rsidP="001562F1">
      <w:pPr>
        <w:numPr>
          <w:ilvl w:val="0"/>
          <w:numId w:val="4"/>
        </w:numPr>
        <w:tabs>
          <w:tab w:val="clear" w:pos="360"/>
          <w:tab w:val="num" w:pos="709"/>
        </w:tabs>
        <w:ind w:left="709" w:hanging="425"/>
        <w:jc w:val="both"/>
        <w:rPr>
          <w:rFonts w:eastAsiaTheme="minorHAnsi"/>
          <w:color w:val="auto"/>
          <w:lang w:eastAsia="en-US"/>
        </w:rPr>
      </w:pPr>
      <w:r w:rsidRPr="00F225AE">
        <w:rPr>
          <w:rFonts w:eastAsiaTheme="minorHAnsi"/>
          <w:color w:val="auto"/>
          <w:lang w:eastAsia="en-US"/>
        </w:rPr>
        <w:t xml:space="preserve">The meter display should be </w:t>
      </w:r>
      <w:proofErr w:type="gramStart"/>
      <w:r w:rsidRPr="00F225AE">
        <w:rPr>
          <w:rFonts w:eastAsiaTheme="minorHAnsi"/>
          <w:color w:val="auto"/>
          <w:lang w:eastAsia="en-US"/>
        </w:rPr>
        <w:t>adjusted</w:t>
      </w:r>
      <w:proofErr w:type="gramEnd"/>
      <w:r w:rsidRPr="00F225AE">
        <w:rPr>
          <w:rFonts w:eastAsiaTheme="minorHAnsi"/>
          <w:color w:val="auto"/>
          <w:lang w:eastAsia="en-US"/>
        </w:rPr>
        <w:t xml:space="preserve"> or a correction factor applied to give the true UV irradiance as measured by the spectroradiometer over the desired wavelength interval.</w:t>
      </w:r>
    </w:p>
    <w:p w14:paraId="0E7BDB02" w14:textId="77777777" w:rsidR="00F225AE" w:rsidRPr="00F225AE" w:rsidRDefault="00F225AE" w:rsidP="001562F1">
      <w:pPr>
        <w:numPr>
          <w:ilvl w:val="0"/>
          <w:numId w:val="4"/>
        </w:numPr>
        <w:tabs>
          <w:tab w:val="clear" w:pos="360"/>
          <w:tab w:val="num" w:pos="709"/>
        </w:tabs>
        <w:ind w:left="709" w:hanging="425"/>
        <w:jc w:val="both"/>
        <w:rPr>
          <w:rFonts w:eastAsiaTheme="minorHAnsi"/>
          <w:color w:val="auto"/>
          <w:lang w:eastAsia="en-US"/>
        </w:rPr>
      </w:pPr>
      <w:r w:rsidRPr="00F225AE">
        <w:rPr>
          <w:rFonts w:eastAsiaTheme="minorHAnsi"/>
          <w:color w:val="auto"/>
          <w:lang w:eastAsia="en-US"/>
        </w:rPr>
        <w:t xml:space="preserve">For a UVA meter specify UVA (315-400 nm); for a broad-band UVB meter specify UVB (280-315 nm); for TL01 specify extended UVB (280-320 nm). </w:t>
      </w:r>
      <w:r w:rsidRPr="00F225AE">
        <w:rPr>
          <w:rFonts w:eastAsiaTheme="minorHAnsi"/>
          <w:color w:val="auto"/>
          <w:lang w:eastAsia="en-US"/>
        </w:rPr>
        <w:lastRenderedPageBreak/>
        <w:t>Alternatively, total UV (250-400 nm) may be specified provided this is clearly stated.</w:t>
      </w:r>
    </w:p>
    <w:p w14:paraId="408D9293" w14:textId="77777777" w:rsidR="00F225AE" w:rsidRPr="00F225AE" w:rsidRDefault="00F225AE" w:rsidP="001562F1">
      <w:pPr>
        <w:numPr>
          <w:ilvl w:val="0"/>
          <w:numId w:val="4"/>
        </w:numPr>
        <w:tabs>
          <w:tab w:val="clear" w:pos="360"/>
          <w:tab w:val="num" w:pos="709"/>
        </w:tabs>
        <w:ind w:left="709" w:hanging="425"/>
        <w:jc w:val="both"/>
        <w:rPr>
          <w:rFonts w:eastAsiaTheme="minorHAnsi"/>
          <w:color w:val="auto"/>
          <w:lang w:eastAsia="en-US"/>
        </w:rPr>
      </w:pPr>
      <w:r w:rsidRPr="00F225AE">
        <w:rPr>
          <w:rFonts w:eastAsiaTheme="minorHAnsi"/>
          <w:color w:val="auto"/>
          <w:lang w:eastAsia="en-US"/>
        </w:rPr>
        <w:t xml:space="preserve">Overall uncertainty in the calibration should be less than 15%. </w:t>
      </w:r>
    </w:p>
    <w:p w14:paraId="123CE9BF" w14:textId="77777777" w:rsidR="00F225AE" w:rsidRPr="00F225AE" w:rsidRDefault="00F225AE" w:rsidP="001562F1">
      <w:pPr>
        <w:numPr>
          <w:ilvl w:val="0"/>
          <w:numId w:val="4"/>
        </w:numPr>
        <w:tabs>
          <w:tab w:val="clear" w:pos="360"/>
          <w:tab w:val="num" w:pos="709"/>
        </w:tabs>
        <w:ind w:left="709" w:hanging="425"/>
        <w:jc w:val="both"/>
        <w:rPr>
          <w:rFonts w:eastAsiaTheme="minorHAnsi"/>
          <w:color w:val="auto"/>
          <w:lang w:eastAsia="en-US"/>
        </w:rPr>
      </w:pPr>
      <w:r w:rsidRPr="00F225AE">
        <w:rPr>
          <w:rFonts w:eastAsiaTheme="minorHAnsi"/>
          <w:color w:val="auto"/>
          <w:lang w:eastAsia="en-US"/>
        </w:rPr>
        <w:t>The calibration should be performed annually.</w:t>
      </w:r>
    </w:p>
    <w:p w14:paraId="45DFFDC8" w14:textId="77777777" w:rsidR="00F225AE" w:rsidRPr="00F225AE" w:rsidRDefault="00F225AE" w:rsidP="00F225AE">
      <w:pPr>
        <w:jc w:val="both"/>
        <w:rPr>
          <w:rFonts w:eastAsiaTheme="minorHAnsi"/>
          <w:b/>
          <w:bCs/>
          <w:color w:val="auto"/>
          <w:lang w:eastAsia="en-US"/>
        </w:rPr>
      </w:pPr>
    </w:p>
    <w:p w14:paraId="3D17C0BE" w14:textId="77777777" w:rsidR="00F225AE" w:rsidRPr="00F225AE" w:rsidRDefault="00F225AE" w:rsidP="00F225AE">
      <w:pPr>
        <w:pStyle w:val="Heading2"/>
      </w:pPr>
      <w:bookmarkStart w:id="5" w:name="_Toc134530360"/>
      <w:r w:rsidRPr="00F225AE">
        <w:t xml:space="preserve">(c) </w:t>
      </w:r>
      <w:r w:rsidRPr="00F225AE">
        <w:tab/>
        <w:t>Detector-based Calibration</w:t>
      </w:r>
      <w:bookmarkEnd w:id="5"/>
    </w:p>
    <w:p w14:paraId="5349FFC1" w14:textId="77777777" w:rsidR="00F225AE" w:rsidRPr="00F225AE" w:rsidRDefault="00F225AE" w:rsidP="001562F1">
      <w:pPr>
        <w:numPr>
          <w:ilvl w:val="0"/>
          <w:numId w:val="5"/>
        </w:numPr>
        <w:tabs>
          <w:tab w:val="clear" w:pos="360"/>
          <w:tab w:val="num" w:pos="720"/>
        </w:tabs>
        <w:ind w:left="709" w:hanging="425"/>
        <w:rPr>
          <w:rFonts w:eastAsiaTheme="minorHAnsi"/>
          <w:color w:val="auto"/>
          <w:lang w:eastAsia="en-US"/>
        </w:rPr>
      </w:pPr>
      <w:r w:rsidRPr="00F225AE">
        <w:rPr>
          <w:rFonts w:eastAsiaTheme="minorHAnsi"/>
          <w:color w:val="auto"/>
          <w:lang w:eastAsia="en-US"/>
        </w:rPr>
        <w:t>Calibration should be traceable to SI units via a National Measurement Institute (for example the National Physical Laboratory in the UK).</w:t>
      </w:r>
    </w:p>
    <w:p w14:paraId="58E57AEF" w14:textId="77777777" w:rsidR="00F225AE" w:rsidRPr="00F225AE" w:rsidRDefault="00F225AE" w:rsidP="001562F1">
      <w:pPr>
        <w:numPr>
          <w:ilvl w:val="0"/>
          <w:numId w:val="5"/>
        </w:numPr>
        <w:tabs>
          <w:tab w:val="clear" w:pos="360"/>
          <w:tab w:val="num" w:pos="720"/>
        </w:tabs>
        <w:ind w:left="709" w:hanging="425"/>
        <w:rPr>
          <w:rFonts w:eastAsiaTheme="minorHAnsi"/>
          <w:color w:val="auto"/>
          <w:lang w:eastAsia="en-US"/>
        </w:rPr>
      </w:pPr>
      <w:r w:rsidRPr="00F225AE">
        <w:rPr>
          <w:rFonts w:eastAsiaTheme="minorHAnsi"/>
          <w:color w:val="auto"/>
          <w:lang w:eastAsia="en-US"/>
        </w:rPr>
        <w:t>The meter and calibrated detector should be positioned at a reproducible distance from an irradiation spectroradiometer.</w:t>
      </w:r>
    </w:p>
    <w:p w14:paraId="76AA0B45" w14:textId="77777777" w:rsidR="00F225AE" w:rsidRPr="00F225AE" w:rsidRDefault="00F225AE" w:rsidP="001562F1">
      <w:pPr>
        <w:numPr>
          <w:ilvl w:val="0"/>
          <w:numId w:val="5"/>
        </w:numPr>
        <w:tabs>
          <w:tab w:val="clear" w:pos="360"/>
          <w:tab w:val="num" w:pos="720"/>
        </w:tabs>
        <w:ind w:left="709" w:hanging="425"/>
        <w:rPr>
          <w:rFonts w:eastAsiaTheme="minorHAnsi"/>
          <w:color w:val="auto"/>
          <w:lang w:eastAsia="en-US"/>
        </w:rPr>
      </w:pPr>
      <w:r w:rsidRPr="00F225AE">
        <w:rPr>
          <w:rFonts w:eastAsiaTheme="minorHAnsi"/>
          <w:color w:val="auto"/>
          <w:lang w:eastAsia="en-US"/>
        </w:rPr>
        <w:t>The meter reading should be compared with that from the calibrated detector at each wavelength.</w:t>
      </w:r>
    </w:p>
    <w:p w14:paraId="747F5E35" w14:textId="77777777" w:rsidR="00F225AE" w:rsidRPr="00F225AE" w:rsidRDefault="00F225AE" w:rsidP="001562F1">
      <w:pPr>
        <w:numPr>
          <w:ilvl w:val="0"/>
          <w:numId w:val="5"/>
        </w:numPr>
        <w:tabs>
          <w:tab w:val="clear" w:pos="360"/>
          <w:tab w:val="num" w:pos="720"/>
        </w:tabs>
        <w:ind w:left="709" w:hanging="425"/>
        <w:rPr>
          <w:rFonts w:eastAsiaTheme="minorHAnsi"/>
          <w:color w:val="auto"/>
          <w:lang w:eastAsia="en-US"/>
        </w:rPr>
      </w:pPr>
      <w:r w:rsidRPr="00F225AE">
        <w:rPr>
          <w:rFonts w:eastAsiaTheme="minorHAnsi"/>
          <w:color w:val="auto"/>
          <w:lang w:eastAsia="en-US"/>
        </w:rPr>
        <w:t>The angular response of the meter should be determined.</w:t>
      </w:r>
    </w:p>
    <w:p w14:paraId="554E191B" w14:textId="77777777" w:rsidR="00F225AE" w:rsidRPr="00F225AE" w:rsidRDefault="00F225AE" w:rsidP="001562F1">
      <w:pPr>
        <w:numPr>
          <w:ilvl w:val="0"/>
          <w:numId w:val="5"/>
        </w:numPr>
        <w:tabs>
          <w:tab w:val="clear" w:pos="360"/>
          <w:tab w:val="num" w:pos="720"/>
        </w:tabs>
        <w:ind w:left="709" w:hanging="425"/>
        <w:rPr>
          <w:rFonts w:eastAsiaTheme="minorHAnsi"/>
          <w:color w:val="auto"/>
          <w:lang w:eastAsia="en-US"/>
        </w:rPr>
      </w:pPr>
      <w:r w:rsidRPr="00F225AE">
        <w:rPr>
          <w:rFonts w:eastAsiaTheme="minorHAnsi"/>
          <w:color w:val="auto"/>
          <w:lang w:eastAsia="en-US"/>
        </w:rPr>
        <w:t>Meter correction factors should be determined using appropriate spectra for the required type of lamp and angular response for an extended source, typical of a treatment cabin.</w:t>
      </w:r>
    </w:p>
    <w:p w14:paraId="3025F268" w14:textId="77777777" w:rsidR="00F225AE" w:rsidRPr="00F225AE" w:rsidRDefault="00F225AE" w:rsidP="001562F1">
      <w:pPr>
        <w:numPr>
          <w:ilvl w:val="0"/>
          <w:numId w:val="5"/>
        </w:numPr>
        <w:tabs>
          <w:tab w:val="clear" w:pos="360"/>
          <w:tab w:val="num" w:pos="720"/>
        </w:tabs>
        <w:ind w:left="709" w:hanging="425"/>
        <w:jc w:val="both"/>
        <w:rPr>
          <w:rFonts w:eastAsiaTheme="minorHAnsi"/>
          <w:color w:val="auto"/>
          <w:lang w:eastAsia="en-US"/>
        </w:rPr>
      </w:pPr>
      <w:r w:rsidRPr="00F225AE">
        <w:rPr>
          <w:rFonts w:eastAsiaTheme="minorHAnsi"/>
          <w:color w:val="auto"/>
          <w:lang w:eastAsia="en-US"/>
        </w:rPr>
        <w:t>For a UVA meter specify UVA (315-400 nm); for a broad-band UVB meter specify UVB (280-315 nm); for TL01 specify extended UVB (280-320 nm). Alternatively, total UV (250-400 nm) may be specified provided this is clearly stated.</w:t>
      </w:r>
    </w:p>
    <w:p w14:paraId="3AD15234" w14:textId="77777777" w:rsidR="00F225AE" w:rsidRPr="00F225AE" w:rsidRDefault="00F225AE" w:rsidP="001562F1">
      <w:pPr>
        <w:numPr>
          <w:ilvl w:val="0"/>
          <w:numId w:val="5"/>
        </w:numPr>
        <w:tabs>
          <w:tab w:val="clear" w:pos="360"/>
          <w:tab w:val="num" w:pos="720"/>
        </w:tabs>
        <w:ind w:left="709" w:hanging="425"/>
        <w:jc w:val="both"/>
        <w:rPr>
          <w:rFonts w:eastAsiaTheme="minorHAnsi"/>
          <w:color w:val="auto"/>
          <w:lang w:eastAsia="en-US"/>
        </w:rPr>
      </w:pPr>
      <w:r w:rsidRPr="00F225AE">
        <w:rPr>
          <w:rFonts w:eastAsiaTheme="minorHAnsi"/>
          <w:color w:val="auto"/>
          <w:lang w:eastAsia="en-US"/>
        </w:rPr>
        <w:t xml:space="preserve">Overall uncertainty in the calibration should be less than 15%. </w:t>
      </w:r>
    </w:p>
    <w:p w14:paraId="0B4B673E" w14:textId="77777777" w:rsidR="00F225AE" w:rsidRPr="00F225AE" w:rsidRDefault="00F225AE" w:rsidP="001562F1">
      <w:pPr>
        <w:numPr>
          <w:ilvl w:val="0"/>
          <w:numId w:val="5"/>
        </w:numPr>
        <w:tabs>
          <w:tab w:val="clear" w:pos="360"/>
          <w:tab w:val="num" w:pos="720"/>
        </w:tabs>
        <w:ind w:left="709" w:hanging="425"/>
        <w:jc w:val="both"/>
        <w:rPr>
          <w:rFonts w:eastAsiaTheme="minorHAnsi"/>
          <w:color w:val="auto"/>
          <w:lang w:eastAsia="en-US"/>
        </w:rPr>
      </w:pPr>
      <w:r w:rsidRPr="00F225AE">
        <w:rPr>
          <w:rFonts w:eastAsiaTheme="minorHAnsi"/>
          <w:color w:val="auto"/>
          <w:lang w:eastAsia="en-US"/>
        </w:rPr>
        <w:t>The calibration should be performed annually.</w:t>
      </w:r>
    </w:p>
    <w:p w14:paraId="4E11E6E4" w14:textId="77777777" w:rsidR="00F225AE" w:rsidRDefault="00F225AE" w:rsidP="00F225AE">
      <w:pPr>
        <w:rPr>
          <w:b/>
          <w:color w:val="auto"/>
        </w:rPr>
      </w:pPr>
      <w:r>
        <w:rPr>
          <w:b/>
          <w:color w:val="auto"/>
        </w:rPr>
        <w:br w:type="page"/>
      </w:r>
    </w:p>
    <w:p w14:paraId="05C64753" w14:textId="7010C2E6" w:rsidR="00F225AE" w:rsidRPr="00F225AE" w:rsidRDefault="00F225AE" w:rsidP="001562F1">
      <w:pPr>
        <w:pStyle w:val="Heading1"/>
      </w:pPr>
      <w:bookmarkStart w:id="6" w:name="_Toc134530361"/>
      <w:r w:rsidRPr="00F225AE">
        <w:lastRenderedPageBreak/>
        <w:t>Dosimetry Protocol No. 2: Designated Patient Irradiance</w:t>
      </w:r>
      <w:bookmarkEnd w:id="6"/>
    </w:p>
    <w:p w14:paraId="22AAFF1E" w14:textId="77777777" w:rsidR="00F225AE" w:rsidRPr="00F225AE" w:rsidRDefault="00F225AE" w:rsidP="00F225AE">
      <w:pPr>
        <w:jc w:val="both"/>
        <w:rPr>
          <w:rFonts w:eastAsiaTheme="minorHAnsi"/>
          <w:color w:val="auto"/>
          <w:lang w:eastAsia="en-US"/>
        </w:rPr>
      </w:pPr>
    </w:p>
    <w:p w14:paraId="1509E2B4" w14:textId="77777777" w:rsidR="00F225AE" w:rsidRPr="00F225AE" w:rsidRDefault="00F225AE" w:rsidP="00F225AE">
      <w:pPr>
        <w:jc w:val="both"/>
        <w:rPr>
          <w:rFonts w:eastAsiaTheme="minorHAnsi"/>
          <w:color w:val="auto"/>
          <w:lang w:eastAsia="en-US"/>
        </w:rPr>
      </w:pPr>
      <w:r w:rsidRPr="00F225AE">
        <w:rPr>
          <w:rFonts w:eastAsiaTheme="minorHAnsi"/>
          <w:color w:val="auto"/>
          <w:lang w:eastAsia="en-US"/>
        </w:rPr>
        <w:t xml:space="preserve">Measurement of the Designated Patient Irradiance should take account of the Scottish UV Dosimetry Guidelines </w:t>
      </w:r>
      <w:r w:rsidRPr="00F225AE">
        <w:rPr>
          <w:rFonts w:eastAsiaTheme="minorHAnsi"/>
          <w:i/>
          <w:iCs/>
          <w:color w:val="auto"/>
          <w:lang w:eastAsia="en-US"/>
        </w:rPr>
        <w:t>(</w:t>
      </w:r>
      <w:proofErr w:type="spellStart"/>
      <w:r w:rsidRPr="00F225AE">
        <w:rPr>
          <w:rFonts w:eastAsiaTheme="minorHAnsi"/>
          <w:i/>
          <w:iCs/>
          <w:color w:val="auto"/>
          <w:lang w:eastAsia="en-US"/>
        </w:rPr>
        <w:t>Photodermatology</w:t>
      </w:r>
      <w:proofErr w:type="spellEnd"/>
      <w:r w:rsidRPr="00F225AE">
        <w:rPr>
          <w:rFonts w:eastAsiaTheme="minorHAnsi"/>
          <w:i/>
          <w:iCs/>
          <w:color w:val="auto"/>
          <w:lang w:eastAsia="en-US"/>
        </w:rPr>
        <w:t xml:space="preserve">, </w:t>
      </w:r>
      <w:proofErr w:type="spellStart"/>
      <w:r w:rsidRPr="00F225AE">
        <w:rPr>
          <w:rFonts w:eastAsiaTheme="minorHAnsi"/>
          <w:i/>
          <w:iCs/>
          <w:color w:val="auto"/>
          <w:lang w:eastAsia="en-US"/>
        </w:rPr>
        <w:t>Photoimmunology</w:t>
      </w:r>
      <w:proofErr w:type="spellEnd"/>
      <w:r w:rsidRPr="00F225AE">
        <w:rPr>
          <w:rFonts w:eastAsiaTheme="minorHAnsi"/>
          <w:i/>
          <w:iCs/>
          <w:color w:val="auto"/>
          <w:lang w:eastAsia="en-US"/>
        </w:rPr>
        <w:t xml:space="preserve"> &amp; Photomedicine</w:t>
      </w:r>
      <w:r w:rsidRPr="00F225AE">
        <w:rPr>
          <w:rFonts w:eastAsiaTheme="minorHAnsi"/>
          <w:color w:val="auto"/>
          <w:lang w:eastAsia="en-US"/>
        </w:rPr>
        <w:t xml:space="preserve"> 17:230-233, 2001) and the Guidelines on the measurement of ultraviolet radiation levels in ultraviolet phototherapy: report issued by the British Association of Dermatologists and British </w:t>
      </w:r>
      <w:proofErr w:type="spellStart"/>
      <w:r w:rsidRPr="00F225AE">
        <w:rPr>
          <w:rFonts w:eastAsiaTheme="minorHAnsi"/>
          <w:color w:val="auto"/>
          <w:lang w:eastAsia="en-US"/>
        </w:rPr>
        <w:t>Photodermatology</w:t>
      </w:r>
      <w:proofErr w:type="spellEnd"/>
      <w:r w:rsidRPr="00F225AE">
        <w:rPr>
          <w:rFonts w:eastAsiaTheme="minorHAnsi"/>
          <w:color w:val="auto"/>
          <w:lang w:eastAsia="en-US"/>
        </w:rPr>
        <w:t xml:space="preserve"> Group 2015 (</w:t>
      </w:r>
      <w:r w:rsidRPr="00F225AE">
        <w:rPr>
          <w:rFonts w:eastAsiaTheme="minorHAnsi"/>
          <w:i/>
          <w:color w:val="auto"/>
          <w:lang w:eastAsia="en-US"/>
        </w:rPr>
        <w:t xml:space="preserve">British Journal of Dermatology. </w:t>
      </w:r>
      <w:proofErr w:type="gramStart"/>
      <w:r w:rsidRPr="00F225AE">
        <w:rPr>
          <w:rFonts w:eastAsiaTheme="minorHAnsi"/>
          <w:i/>
          <w:color w:val="auto"/>
          <w:lang w:eastAsia="en-US"/>
        </w:rPr>
        <w:t>2015;173:333</w:t>
      </w:r>
      <w:proofErr w:type="gramEnd"/>
      <w:r w:rsidRPr="00F225AE">
        <w:rPr>
          <w:rFonts w:eastAsiaTheme="minorHAnsi"/>
          <w:i/>
          <w:color w:val="auto"/>
          <w:lang w:eastAsia="en-US"/>
        </w:rPr>
        <w:t>-350</w:t>
      </w:r>
      <w:r w:rsidRPr="00F225AE">
        <w:rPr>
          <w:rFonts w:eastAsiaTheme="minorHAnsi"/>
          <w:color w:val="auto"/>
          <w:lang w:eastAsia="en-US"/>
        </w:rPr>
        <w:t>). Overall responsibility for UV dosimetry at each treatment centre should be ascribed to a Responsible Person. This should be a Medical Physicist who is appropriately resourced and knowledgeable in the evaluation of ultra-violet radiation measurements and risks.</w:t>
      </w:r>
    </w:p>
    <w:p w14:paraId="374AE28E" w14:textId="77777777" w:rsidR="00F225AE" w:rsidRPr="00F225AE" w:rsidRDefault="00F225AE" w:rsidP="00F225AE">
      <w:pPr>
        <w:jc w:val="both"/>
        <w:rPr>
          <w:rFonts w:eastAsiaTheme="minorHAnsi"/>
          <w:color w:val="auto"/>
          <w:lang w:eastAsia="en-US"/>
        </w:rPr>
      </w:pPr>
    </w:p>
    <w:p w14:paraId="4EE22489" w14:textId="77777777" w:rsidR="00F225AE" w:rsidRPr="00F225AE" w:rsidRDefault="00F225AE" w:rsidP="00F225AE">
      <w:pPr>
        <w:jc w:val="both"/>
        <w:rPr>
          <w:rFonts w:eastAsiaTheme="minorHAnsi"/>
          <w:color w:val="auto"/>
          <w:lang w:eastAsia="en-US"/>
        </w:rPr>
      </w:pPr>
      <w:r w:rsidRPr="00F225AE">
        <w:rPr>
          <w:rFonts w:eastAsiaTheme="minorHAnsi"/>
          <w:color w:val="auto"/>
          <w:lang w:eastAsia="en-US"/>
        </w:rPr>
        <w:t>At an Institute of Physics and Engineering in Medicine conference in 2018, the Health and Safety Executive provided written information:</w:t>
      </w:r>
    </w:p>
    <w:p w14:paraId="54A06DBD" w14:textId="77777777" w:rsidR="00F225AE" w:rsidRPr="00F225AE" w:rsidRDefault="00F225AE" w:rsidP="00F225AE">
      <w:pPr>
        <w:jc w:val="both"/>
        <w:rPr>
          <w:rFonts w:eastAsiaTheme="minorHAnsi"/>
          <w:i/>
          <w:color w:val="auto"/>
          <w:lang w:eastAsia="en-US"/>
        </w:rPr>
      </w:pPr>
    </w:p>
    <w:p w14:paraId="299EE0ED" w14:textId="77777777" w:rsidR="00F225AE" w:rsidRPr="00F225AE" w:rsidRDefault="00F225AE" w:rsidP="00F225AE">
      <w:pPr>
        <w:jc w:val="both"/>
        <w:rPr>
          <w:rFonts w:eastAsiaTheme="minorHAnsi"/>
          <w:i/>
          <w:color w:val="auto"/>
          <w:lang w:eastAsia="en-US"/>
        </w:rPr>
      </w:pPr>
      <w:r w:rsidRPr="00F225AE">
        <w:rPr>
          <w:rFonts w:eastAsiaTheme="minorHAnsi"/>
          <w:i/>
          <w:color w:val="auto"/>
          <w:lang w:eastAsia="en-US"/>
        </w:rPr>
        <w:t>Staff should not enter UV cabins when they are turned on. There are other methods, which are considered reasonably practicable, such as using jigs and stands, to do QA measurements.</w:t>
      </w:r>
    </w:p>
    <w:p w14:paraId="4F27A1D7" w14:textId="77777777" w:rsidR="00F225AE" w:rsidRPr="00F225AE" w:rsidRDefault="00F225AE" w:rsidP="00F225AE">
      <w:pPr>
        <w:jc w:val="both"/>
        <w:rPr>
          <w:rFonts w:eastAsiaTheme="minorHAnsi"/>
          <w:i/>
          <w:color w:val="auto"/>
          <w:lang w:eastAsia="en-US"/>
        </w:rPr>
      </w:pPr>
      <w:r w:rsidRPr="00F225AE">
        <w:rPr>
          <w:rFonts w:eastAsiaTheme="minorHAnsi"/>
          <w:i/>
          <w:color w:val="auto"/>
          <w:lang w:eastAsia="en-US"/>
        </w:rPr>
        <w:t xml:space="preserve">Elimination of the risk is the </w:t>
      </w:r>
      <w:proofErr w:type="gramStart"/>
      <w:r w:rsidRPr="00F225AE">
        <w:rPr>
          <w:rFonts w:eastAsiaTheme="minorHAnsi"/>
          <w:i/>
          <w:color w:val="auto"/>
          <w:lang w:eastAsia="en-US"/>
        </w:rPr>
        <w:t>first priority</w:t>
      </w:r>
      <w:proofErr w:type="gramEnd"/>
      <w:r w:rsidRPr="00F225AE">
        <w:rPr>
          <w:rFonts w:eastAsiaTheme="minorHAnsi"/>
          <w:i/>
          <w:color w:val="auto"/>
          <w:lang w:eastAsia="en-US"/>
        </w:rPr>
        <w:t xml:space="preserve"> in the hierarchy of controls. Even if they were wearing full PPE it is not acceptable. There </w:t>
      </w:r>
      <w:proofErr w:type="gramStart"/>
      <w:r w:rsidRPr="00F225AE">
        <w:rPr>
          <w:rFonts w:eastAsiaTheme="minorHAnsi"/>
          <w:i/>
          <w:color w:val="auto"/>
          <w:lang w:eastAsia="en-US"/>
        </w:rPr>
        <w:t>is</w:t>
      </w:r>
      <w:proofErr w:type="gramEnd"/>
      <w:r w:rsidRPr="00F225AE">
        <w:rPr>
          <w:rFonts w:eastAsiaTheme="minorHAnsi"/>
          <w:i/>
          <w:color w:val="auto"/>
          <w:lang w:eastAsia="en-US"/>
        </w:rPr>
        <w:t xml:space="preserve"> a high risk of significant skin burns and potential for eye damage if PPE were not suitable or adequate.</w:t>
      </w:r>
    </w:p>
    <w:p w14:paraId="3E78825B" w14:textId="77777777" w:rsidR="00F225AE" w:rsidRPr="00F225AE" w:rsidRDefault="00F225AE" w:rsidP="00F225AE">
      <w:pPr>
        <w:jc w:val="both"/>
        <w:rPr>
          <w:rFonts w:eastAsiaTheme="minorHAnsi"/>
          <w:color w:val="auto"/>
          <w:lang w:eastAsia="en-US"/>
        </w:rPr>
      </w:pPr>
    </w:p>
    <w:p w14:paraId="302DC150" w14:textId="77777777" w:rsidR="00F225AE" w:rsidRPr="00F225AE" w:rsidRDefault="00F225AE" w:rsidP="00F225AE">
      <w:pPr>
        <w:jc w:val="both"/>
        <w:rPr>
          <w:rFonts w:eastAsiaTheme="minorHAnsi"/>
          <w:color w:val="auto"/>
          <w:lang w:eastAsia="en-US"/>
        </w:rPr>
      </w:pPr>
      <w:r w:rsidRPr="00F225AE">
        <w:rPr>
          <w:rFonts w:eastAsiaTheme="minorHAnsi"/>
          <w:color w:val="auto"/>
          <w:lang w:eastAsia="en-US"/>
        </w:rPr>
        <w:t xml:space="preserve">All risks should be considered when performing dosimetry, including the risk to the patient from inaccurate or inappropriate dosimetry. Use of jigs and stands needs to be justified with evidence that the reported values are equivalent to the Designated Patient Irradiance. </w:t>
      </w:r>
    </w:p>
    <w:p w14:paraId="665DF540" w14:textId="77777777" w:rsidR="00F225AE" w:rsidRPr="00F225AE" w:rsidRDefault="00F225AE" w:rsidP="00F225AE">
      <w:pPr>
        <w:jc w:val="both"/>
        <w:rPr>
          <w:rFonts w:eastAsiaTheme="minorHAnsi"/>
          <w:color w:val="auto"/>
          <w:lang w:eastAsia="en-US"/>
        </w:rPr>
      </w:pPr>
    </w:p>
    <w:p w14:paraId="3D967443" w14:textId="48A7385D" w:rsidR="00F225AE" w:rsidRPr="00F225AE" w:rsidRDefault="00F225AE" w:rsidP="00795127">
      <w:pPr>
        <w:pStyle w:val="Heading2"/>
        <w:numPr>
          <w:ilvl w:val="0"/>
          <w:numId w:val="22"/>
        </w:numPr>
      </w:pPr>
      <w:bookmarkStart w:id="7" w:name="_Toc134530362"/>
      <w:r w:rsidRPr="00F225AE">
        <w:t>Designated Patient Irradiance</w:t>
      </w:r>
      <w:bookmarkEnd w:id="7"/>
    </w:p>
    <w:p w14:paraId="4FF70A47" w14:textId="166E1331" w:rsidR="00F225AE" w:rsidRDefault="00F225AE" w:rsidP="001562F1">
      <w:pPr>
        <w:numPr>
          <w:ilvl w:val="0"/>
          <w:numId w:val="6"/>
        </w:numPr>
        <w:tabs>
          <w:tab w:val="num" w:pos="567"/>
        </w:tabs>
        <w:ind w:left="567" w:hanging="567"/>
        <w:jc w:val="both"/>
        <w:rPr>
          <w:rFonts w:eastAsiaTheme="minorHAnsi"/>
          <w:color w:val="auto"/>
          <w:lang w:eastAsia="en-US"/>
        </w:rPr>
      </w:pPr>
      <w:r w:rsidRPr="00F225AE">
        <w:rPr>
          <w:rFonts w:eastAsiaTheme="minorHAnsi"/>
          <w:color w:val="auto"/>
          <w:lang w:eastAsia="en-US"/>
        </w:rPr>
        <w:t xml:space="preserve">Designated Patient Irradiance (DPI) is defined as the mean irradiance incident on a patient of average height and build in a </w:t>
      </w:r>
      <w:proofErr w:type="gramStart"/>
      <w:r w:rsidRPr="00F225AE">
        <w:rPr>
          <w:rFonts w:eastAsiaTheme="minorHAnsi"/>
          <w:color w:val="auto"/>
          <w:lang w:eastAsia="en-US"/>
        </w:rPr>
        <w:t>whole body</w:t>
      </w:r>
      <w:proofErr w:type="gramEnd"/>
      <w:r w:rsidRPr="00F225AE">
        <w:rPr>
          <w:rFonts w:eastAsiaTheme="minorHAnsi"/>
          <w:color w:val="auto"/>
          <w:lang w:eastAsia="en-US"/>
        </w:rPr>
        <w:t xml:space="preserve"> treatment unit at chest, waist and knee level. At each level, irradiance should be determined on the anterior, posterior, right and left surfaces, that is at 12 body sites.</w:t>
      </w:r>
    </w:p>
    <w:p w14:paraId="17E30F80" w14:textId="77777777" w:rsidR="003D32F5" w:rsidRPr="00F225AE" w:rsidRDefault="003D32F5" w:rsidP="003D32F5">
      <w:pPr>
        <w:ind w:left="567"/>
        <w:jc w:val="both"/>
        <w:rPr>
          <w:rFonts w:eastAsiaTheme="minorHAnsi"/>
          <w:color w:val="auto"/>
          <w:lang w:eastAsia="en-US"/>
        </w:rPr>
      </w:pPr>
    </w:p>
    <w:p w14:paraId="53521AC3" w14:textId="529BAA22" w:rsidR="00F225AE" w:rsidRPr="00F225AE" w:rsidRDefault="003D32F5" w:rsidP="003D32F5">
      <w:pPr>
        <w:jc w:val="center"/>
        <w:rPr>
          <w:rFonts w:eastAsiaTheme="minorHAnsi"/>
          <w:color w:val="auto"/>
          <w:lang w:eastAsia="en-US"/>
        </w:rPr>
      </w:pPr>
      <w:r>
        <w:rPr>
          <w:rFonts w:eastAsiaTheme="minorHAnsi"/>
          <w:noProof/>
          <w:color w:val="auto"/>
          <w:lang w:eastAsia="en-US"/>
        </w:rPr>
        <w:drawing>
          <wp:inline distT="0" distB="0" distL="0" distR="0" wp14:anchorId="31051042" wp14:editId="06E5E5B2">
            <wp:extent cx="4244454" cy="2862045"/>
            <wp:effectExtent l="0" t="0" r="3810" b="0"/>
            <wp:docPr id="6" name="Picture 6" descr="12 sites of designated patient irrad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12 sites of designated patient irradi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5682" cy="2869616"/>
                    </a:xfrm>
                    <a:prstGeom prst="rect">
                      <a:avLst/>
                    </a:prstGeom>
                    <a:noFill/>
                  </pic:spPr>
                </pic:pic>
              </a:graphicData>
            </a:graphic>
          </wp:inline>
        </w:drawing>
      </w:r>
    </w:p>
    <w:p w14:paraId="0FD983EF" w14:textId="77777777" w:rsidR="00F225AE" w:rsidRPr="00F225AE" w:rsidRDefault="00F225AE" w:rsidP="00F225AE">
      <w:pPr>
        <w:jc w:val="both"/>
        <w:rPr>
          <w:rFonts w:eastAsiaTheme="minorHAnsi"/>
          <w:color w:val="auto"/>
          <w:lang w:eastAsia="en-US"/>
        </w:rPr>
      </w:pPr>
    </w:p>
    <w:p w14:paraId="30E6DC2C" w14:textId="77777777" w:rsidR="00F225AE" w:rsidRPr="00F225AE" w:rsidRDefault="00F225AE" w:rsidP="001562F1">
      <w:pPr>
        <w:numPr>
          <w:ilvl w:val="0"/>
          <w:numId w:val="6"/>
        </w:numPr>
        <w:tabs>
          <w:tab w:val="clear" w:pos="720"/>
        </w:tabs>
        <w:ind w:left="567" w:hanging="567"/>
        <w:jc w:val="both"/>
        <w:rPr>
          <w:rFonts w:eastAsiaTheme="minorHAnsi"/>
          <w:color w:val="auto"/>
          <w:lang w:eastAsia="en-US"/>
        </w:rPr>
      </w:pPr>
      <w:r w:rsidRPr="00F225AE">
        <w:rPr>
          <w:rFonts w:eastAsiaTheme="minorHAnsi"/>
          <w:color w:val="auto"/>
          <w:lang w:eastAsia="en-US"/>
        </w:rPr>
        <w:lastRenderedPageBreak/>
        <w:t>Measurements should be carried out on the investigator / phantom in the treatment cabin in the same position as adopted by the patients.</w:t>
      </w:r>
    </w:p>
    <w:p w14:paraId="23995BA7" w14:textId="77777777" w:rsidR="00F225AE" w:rsidRPr="00F225AE" w:rsidRDefault="00F225AE" w:rsidP="001562F1">
      <w:pPr>
        <w:numPr>
          <w:ilvl w:val="0"/>
          <w:numId w:val="6"/>
        </w:numPr>
        <w:ind w:left="567" w:hanging="567"/>
        <w:jc w:val="both"/>
        <w:rPr>
          <w:rFonts w:eastAsiaTheme="minorHAnsi"/>
          <w:color w:val="auto"/>
          <w:lang w:eastAsia="en-US"/>
        </w:rPr>
      </w:pPr>
      <w:r w:rsidRPr="00F225AE">
        <w:rPr>
          <w:rFonts w:eastAsiaTheme="minorHAnsi"/>
          <w:color w:val="auto"/>
          <w:lang w:eastAsia="en-US"/>
        </w:rPr>
        <w:t>Lamps should be operated for a 5-minute warm-up period before irradiance measurements are made. The DPI may be measured by the direct or indirect method.</w:t>
      </w:r>
    </w:p>
    <w:p w14:paraId="4D5DDD13" w14:textId="77777777" w:rsidR="00F225AE" w:rsidRPr="00F225AE" w:rsidRDefault="00F225AE" w:rsidP="001562F1">
      <w:pPr>
        <w:numPr>
          <w:ilvl w:val="0"/>
          <w:numId w:val="6"/>
        </w:numPr>
        <w:ind w:left="567" w:hanging="567"/>
        <w:jc w:val="both"/>
        <w:rPr>
          <w:rFonts w:eastAsiaTheme="minorHAnsi"/>
          <w:color w:val="auto"/>
          <w:lang w:eastAsia="en-US"/>
        </w:rPr>
      </w:pPr>
      <w:r w:rsidRPr="00F225AE">
        <w:rPr>
          <w:rFonts w:eastAsiaTheme="minorHAnsi"/>
          <w:color w:val="auto"/>
          <w:lang w:eastAsia="en-US"/>
        </w:rPr>
        <w:t>The dose received by the patient in the treatment unit is taken to be the product of the DPI and duration of exposure.</w:t>
      </w:r>
    </w:p>
    <w:p w14:paraId="24F6FFB7" w14:textId="77777777" w:rsidR="00F225AE" w:rsidRPr="00F225AE" w:rsidRDefault="00F225AE" w:rsidP="001562F1">
      <w:pPr>
        <w:numPr>
          <w:ilvl w:val="0"/>
          <w:numId w:val="6"/>
        </w:numPr>
        <w:ind w:left="567" w:hanging="567"/>
        <w:jc w:val="both"/>
        <w:rPr>
          <w:rFonts w:eastAsiaTheme="minorHAnsi"/>
          <w:color w:val="auto"/>
          <w:lang w:eastAsia="en-US"/>
        </w:rPr>
      </w:pPr>
      <w:r w:rsidRPr="00F225AE">
        <w:rPr>
          <w:rFonts w:eastAsiaTheme="minorHAnsi"/>
          <w:color w:val="auto"/>
          <w:lang w:eastAsia="en-US"/>
        </w:rPr>
        <w:t>Measurements may be carried out using different direct or indirect methods provided they can be related to the DPI as defined above. If the method used introduces a discrepancy &lt;5% this is acceptable without correction to the DPI, provided this is documented.</w:t>
      </w:r>
    </w:p>
    <w:p w14:paraId="32BCD2D8" w14:textId="77777777" w:rsidR="00F225AE" w:rsidRPr="00F225AE" w:rsidRDefault="00F225AE" w:rsidP="00F225AE">
      <w:pPr>
        <w:jc w:val="both"/>
        <w:rPr>
          <w:rFonts w:eastAsiaTheme="minorHAnsi"/>
          <w:b/>
          <w:bCs/>
          <w:color w:val="auto"/>
          <w:lang w:eastAsia="en-US"/>
        </w:rPr>
      </w:pPr>
    </w:p>
    <w:p w14:paraId="10F16743" w14:textId="36BE5FE1" w:rsidR="00F225AE" w:rsidRPr="00F225AE" w:rsidRDefault="00F225AE" w:rsidP="003D32F5">
      <w:pPr>
        <w:pStyle w:val="Heading2"/>
      </w:pPr>
      <w:bookmarkStart w:id="8" w:name="_Toc134530363"/>
      <w:r w:rsidRPr="00F225AE">
        <w:t>(b)</w:t>
      </w:r>
      <w:r w:rsidR="001562F1" w:rsidRPr="00F225AE">
        <w:t xml:space="preserve">  </w:t>
      </w:r>
      <w:r w:rsidR="001562F1" w:rsidRPr="00F225AE">
        <w:tab/>
      </w:r>
      <w:r w:rsidRPr="00F225AE">
        <w:t>Direct Method</w:t>
      </w:r>
      <w:bookmarkEnd w:id="8"/>
    </w:p>
    <w:p w14:paraId="1813310F" w14:textId="77777777" w:rsidR="00F225AE" w:rsidRPr="00F225AE" w:rsidRDefault="00F225AE" w:rsidP="001562F1">
      <w:pPr>
        <w:numPr>
          <w:ilvl w:val="0"/>
          <w:numId w:val="7"/>
        </w:numPr>
        <w:tabs>
          <w:tab w:val="clear" w:pos="360"/>
          <w:tab w:val="num" w:pos="567"/>
        </w:tabs>
        <w:ind w:left="567" w:hanging="567"/>
        <w:jc w:val="both"/>
        <w:rPr>
          <w:rFonts w:eastAsiaTheme="minorHAnsi"/>
          <w:color w:val="auto"/>
          <w:lang w:eastAsia="en-US"/>
        </w:rPr>
      </w:pPr>
      <w:r w:rsidRPr="00F225AE">
        <w:rPr>
          <w:rFonts w:eastAsiaTheme="minorHAnsi"/>
          <w:color w:val="auto"/>
          <w:lang w:eastAsia="en-US"/>
        </w:rPr>
        <w:t>The investigator / phantom must measure the irradiance at the specified sites, whilst standing in the unit.</w:t>
      </w:r>
    </w:p>
    <w:p w14:paraId="334DDD5F" w14:textId="77777777" w:rsidR="00F225AE" w:rsidRPr="00F225AE" w:rsidRDefault="00F225AE" w:rsidP="001562F1">
      <w:pPr>
        <w:numPr>
          <w:ilvl w:val="0"/>
          <w:numId w:val="7"/>
        </w:numPr>
        <w:tabs>
          <w:tab w:val="clear" w:pos="360"/>
          <w:tab w:val="num" w:pos="567"/>
        </w:tabs>
        <w:ind w:left="567" w:hanging="567"/>
        <w:jc w:val="both"/>
        <w:rPr>
          <w:rFonts w:eastAsiaTheme="minorHAnsi"/>
          <w:color w:val="auto"/>
          <w:lang w:eastAsia="en-US"/>
        </w:rPr>
      </w:pPr>
      <w:r w:rsidRPr="00F225AE">
        <w:rPr>
          <w:rFonts w:eastAsiaTheme="minorHAnsi"/>
          <w:color w:val="auto"/>
          <w:lang w:eastAsia="en-US"/>
        </w:rPr>
        <w:t>Care must be taken to ensure that the field of view of the meter is not restricted by any part of the body or clothing.</w:t>
      </w:r>
    </w:p>
    <w:p w14:paraId="4D3265F2" w14:textId="77777777" w:rsidR="00F225AE" w:rsidRPr="00F225AE" w:rsidRDefault="00F225AE" w:rsidP="001562F1">
      <w:pPr>
        <w:numPr>
          <w:ilvl w:val="0"/>
          <w:numId w:val="7"/>
        </w:numPr>
        <w:tabs>
          <w:tab w:val="clear" w:pos="360"/>
          <w:tab w:val="num" w:pos="567"/>
        </w:tabs>
        <w:ind w:left="567" w:hanging="567"/>
        <w:jc w:val="both"/>
        <w:rPr>
          <w:rFonts w:eastAsiaTheme="minorHAnsi"/>
          <w:color w:val="auto"/>
          <w:lang w:eastAsia="en-US"/>
        </w:rPr>
      </w:pPr>
      <w:r w:rsidRPr="00F225AE">
        <w:rPr>
          <w:rFonts w:eastAsiaTheme="minorHAnsi"/>
          <w:color w:val="auto"/>
          <w:lang w:eastAsia="en-US"/>
        </w:rPr>
        <w:t>The investigator / phantom should take readings in more than one orientation if the practice is for the patient to turn during treatment.</w:t>
      </w:r>
    </w:p>
    <w:p w14:paraId="217DC5FD" w14:textId="77777777" w:rsidR="00F225AE" w:rsidRPr="00F225AE" w:rsidRDefault="00F225AE" w:rsidP="001562F1">
      <w:pPr>
        <w:numPr>
          <w:ilvl w:val="0"/>
          <w:numId w:val="7"/>
        </w:numPr>
        <w:tabs>
          <w:tab w:val="clear" w:pos="360"/>
          <w:tab w:val="num" w:pos="567"/>
        </w:tabs>
        <w:ind w:left="567" w:hanging="567"/>
        <w:jc w:val="both"/>
        <w:rPr>
          <w:rFonts w:eastAsiaTheme="minorHAnsi"/>
          <w:color w:val="auto"/>
          <w:lang w:eastAsia="en-US"/>
        </w:rPr>
      </w:pPr>
      <w:r w:rsidRPr="00F225AE">
        <w:rPr>
          <w:rFonts w:eastAsiaTheme="minorHAnsi"/>
          <w:color w:val="auto"/>
          <w:lang w:eastAsia="en-US"/>
        </w:rPr>
        <w:t>The DPI should be calculated from the mean irradiances.</w:t>
      </w:r>
    </w:p>
    <w:p w14:paraId="712142EA" w14:textId="77777777" w:rsidR="00F225AE" w:rsidRPr="00F225AE" w:rsidRDefault="00F225AE" w:rsidP="001562F1">
      <w:pPr>
        <w:numPr>
          <w:ilvl w:val="0"/>
          <w:numId w:val="7"/>
        </w:numPr>
        <w:tabs>
          <w:tab w:val="clear" w:pos="360"/>
          <w:tab w:val="num" w:pos="567"/>
        </w:tabs>
        <w:ind w:left="567" w:hanging="567"/>
        <w:jc w:val="both"/>
        <w:rPr>
          <w:rFonts w:eastAsiaTheme="minorHAnsi"/>
          <w:color w:val="auto"/>
          <w:lang w:eastAsia="en-US"/>
        </w:rPr>
      </w:pPr>
      <w:r w:rsidRPr="00F225AE">
        <w:rPr>
          <w:rFonts w:eastAsiaTheme="minorHAnsi"/>
          <w:color w:val="auto"/>
          <w:lang w:eastAsia="en-US"/>
        </w:rPr>
        <w:t>All measurements should be properly documented.</w:t>
      </w:r>
    </w:p>
    <w:p w14:paraId="2410FA34" w14:textId="77777777" w:rsidR="00F225AE" w:rsidRPr="00F225AE" w:rsidRDefault="00F225AE" w:rsidP="00F225AE">
      <w:pPr>
        <w:jc w:val="both"/>
        <w:rPr>
          <w:rFonts w:eastAsiaTheme="minorHAnsi"/>
          <w:color w:val="auto"/>
          <w:lang w:eastAsia="en-US"/>
        </w:rPr>
      </w:pPr>
    </w:p>
    <w:p w14:paraId="3A5B65A6" w14:textId="4BDEF291" w:rsidR="00F225AE" w:rsidRPr="00F225AE" w:rsidRDefault="00F225AE" w:rsidP="003D32F5">
      <w:pPr>
        <w:pStyle w:val="Heading2"/>
      </w:pPr>
      <w:bookmarkStart w:id="9" w:name="_Toc134530364"/>
      <w:r w:rsidRPr="00F225AE">
        <w:t>(c)</w:t>
      </w:r>
      <w:r w:rsidR="001562F1" w:rsidRPr="00F225AE">
        <w:t xml:space="preserve">  </w:t>
      </w:r>
      <w:r w:rsidR="001562F1" w:rsidRPr="00F225AE">
        <w:tab/>
      </w:r>
      <w:r w:rsidRPr="00F225AE">
        <w:t>Indirect Method</w:t>
      </w:r>
      <w:bookmarkEnd w:id="9"/>
    </w:p>
    <w:p w14:paraId="5F575317" w14:textId="77777777" w:rsidR="00F225AE" w:rsidRPr="00F225AE" w:rsidRDefault="00F225AE" w:rsidP="001562F1">
      <w:pPr>
        <w:numPr>
          <w:ilvl w:val="0"/>
          <w:numId w:val="8"/>
        </w:numPr>
        <w:tabs>
          <w:tab w:val="clear" w:pos="360"/>
        </w:tabs>
        <w:ind w:left="567" w:hanging="567"/>
        <w:jc w:val="both"/>
        <w:rPr>
          <w:rFonts w:eastAsiaTheme="minorHAnsi"/>
          <w:color w:val="auto"/>
          <w:lang w:eastAsia="en-US"/>
        </w:rPr>
      </w:pPr>
      <w:r w:rsidRPr="00F225AE">
        <w:rPr>
          <w:rFonts w:eastAsiaTheme="minorHAnsi"/>
          <w:color w:val="auto"/>
          <w:lang w:eastAsia="en-US"/>
        </w:rPr>
        <w:t>The irradiance from each bank of lamps in the treatment unit should be measured, in a reproducible manner, while the unit is unoccupied. Literature on potential indirect measurement techniques:</w:t>
      </w:r>
    </w:p>
    <w:p w14:paraId="341B85A1" w14:textId="77777777" w:rsidR="00F225AE" w:rsidRPr="00F225AE" w:rsidRDefault="00F225AE" w:rsidP="001562F1">
      <w:pPr>
        <w:numPr>
          <w:ilvl w:val="1"/>
          <w:numId w:val="8"/>
        </w:numPr>
        <w:jc w:val="both"/>
        <w:rPr>
          <w:rFonts w:eastAsiaTheme="minorHAnsi"/>
          <w:color w:val="auto"/>
          <w:lang w:eastAsia="en-US"/>
        </w:rPr>
      </w:pPr>
      <w:r w:rsidRPr="00F225AE">
        <w:rPr>
          <w:rFonts w:eastAsiaTheme="minorHAnsi"/>
          <w:color w:val="auto"/>
          <w:lang w:eastAsia="en-US"/>
        </w:rPr>
        <w:t xml:space="preserve">Currie, GD. </w:t>
      </w:r>
      <w:r w:rsidRPr="00F225AE">
        <w:rPr>
          <w:rFonts w:eastAsiaTheme="minorHAnsi"/>
          <w:i/>
          <w:color w:val="auto"/>
          <w:lang w:eastAsia="en-US"/>
        </w:rPr>
        <w:t>et al.</w:t>
      </w:r>
      <w:r w:rsidRPr="00F225AE">
        <w:rPr>
          <w:rFonts w:eastAsiaTheme="minorHAnsi"/>
          <w:color w:val="auto"/>
          <w:lang w:eastAsia="en-US"/>
        </w:rPr>
        <w:t xml:space="preserve"> An automated dosimetry system for testing whole-body ultraviolet phototherapy cabinets. Physics in Medicine &amp; Biology. 2001;46(2):333. </w:t>
      </w:r>
      <w:hyperlink r:id="rId11" w:history="1">
        <w:r w:rsidRPr="00F225AE">
          <w:rPr>
            <w:rFonts w:eastAsiaTheme="minorHAnsi"/>
            <w:color w:val="0000FF"/>
            <w:u w:val="single"/>
            <w:lang w:eastAsia="en-US"/>
          </w:rPr>
          <w:t>http://dx.doi.org/10.1088/0031-9155/46/2/305</w:t>
        </w:r>
      </w:hyperlink>
    </w:p>
    <w:p w14:paraId="1EE23706" w14:textId="77777777" w:rsidR="00F225AE" w:rsidRPr="00F225AE" w:rsidRDefault="00F225AE" w:rsidP="001562F1">
      <w:pPr>
        <w:numPr>
          <w:ilvl w:val="1"/>
          <w:numId w:val="8"/>
        </w:numPr>
        <w:jc w:val="both"/>
        <w:rPr>
          <w:rFonts w:eastAsiaTheme="minorHAnsi"/>
          <w:color w:val="auto"/>
          <w:lang w:eastAsia="en-US"/>
        </w:rPr>
      </w:pPr>
      <w:r w:rsidRPr="00F225AE">
        <w:rPr>
          <w:rFonts w:eastAsiaTheme="minorHAnsi"/>
          <w:color w:val="auto"/>
          <w:lang w:eastAsia="en-US"/>
        </w:rPr>
        <w:t>Moseley, H. Scottish UV dosimetry guidelines, “</w:t>
      </w:r>
      <w:proofErr w:type="spellStart"/>
      <w:r w:rsidRPr="00F225AE">
        <w:rPr>
          <w:rFonts w:eastAsiaTheme="minorHAnsi"/>
          <w:color w:val="auto"/>
          <w:lang w:eastAsia="en-US"/>
        </w:rPr>
        <w:t>ScUViDo</w:t>
      </w:r>
      <w:proofErr w:type="spellEnd"/>
      <w:r w:rsidRPr="00F225AE">
        <w:rPr>
          <w:rFonts w:eastAsiaTheme="minorHAnsi"/>
          <w:color w:val="auto"/>
          <w:lang w:eastAsia="en-US"/>
        </w:rPr>
        <w:t xml:space="preserve">”. </w:t>
      </w:r>
      <w:proofErr w:type="spellStart"/>
      <w:r w:rsidRPr="00F225AE">
        <w:rPr>
          <w:rFonts w:eastAsiaTheme="minorHAnsi"/>
          <w:color w:val="auto"/>
          <w:lang w:eastAsia="en-US"/>
        </w:rPr>
        <w:t>Photodermatology</w:t>
      </w:r>
      <w:proofErr w:type="spellEnd"/>
      <w:r w:rsidRPr="00F225AE">
        <w:rPr>
          <w:rFonts w:eastAsiaTheme="minorHAnsi"/>
          <w:color w:val="auto"/>
          <w:lang w:eastAsia="en-US"/>
        </w:rPr>
        <w:t xml:space="preserve">, </w:t>
      </w:r>
      <w:proofErr w:type="spellStart"/>
      <w:r w:rsidRPr="00F225AE">
        <w:rPr>
          <w:rFonts w:eastAsiaTheme="minorHAnsi"/>
          <w:color w:val="auto"/>
          <w:lang w:eastAsia="en-US"/>
        </w:rPr>
        <w:t>Photoimmunology</w:t>
      </w:r>
      <w:proofErr w:type="spellEnd"/>
      <w:r w:rsidRPr="00F225AE">
        <w:rPr>
          <w:rFonts w:eastAsiaTheme="minorHAnsi"/>
          <w:color w:val="auto"/>
          <w:lang w:eastAsia="en-US"/>
        </w:rPr>
        <w:t xml:space="preserve"> &amp; Photomedicine. 2001;17(5):230-233. </w:t>
      </w:r>
      <w:hyperlink r:id="rId12" w:history="1">
        <w:r w:rsidRPr="00F225AE">
          <w:rPr>
            <w:rFonts w:eastAsiaTheme="minorHAnsi"/>
            <w:color w:val="0000FF"/>
            <w:u w:val="single"/>
            <w:lang w:eastAsia="en-US"/>
          </w:rPr>
          <w:t>https://doi.org/10.1111/j.1600-0781.2001.170505.x</w:t>
        </w:r>
      </w:hyperlink>
    </w:p>
    <w:p w14:paraId="6765AA3C" w14:textId="77777777" w:rsidR="00F225AE" w:rsidRPr="00F225AE" w:rsidRDefault="00F225AE" w:rsidP="001562F1">
      <w:pPr>
        <w:numPr>
          <w:ilvl w:val="1"/>
          <w:numId w:val="8"/>
        </w:numPr>
        <w:jc w:val="both"/>
        <w:rPr>
          <w:rFonts w:eastAsiaTheme="minorHAnsi"/>
          <w:color w:val="auto"/>
          <w:lang w:eastAsia="en-US"/>
        </w:rPr>
      </w:pPr>
      <w:r w:rsidRPr="00F225AE">
        <w:rPr>
          <w:rFonts w:eastAsiaTheme="minorHAnsi"/>
          <w:color w:val="auto"/>
          <w:lang w:eastAsia="en-US"/>
        </w:rPr>
        <w:t xml:space="preserve">Cameron, H. </w:t>
      </w:r>
      <w:r w:rsidRPr="00F225AE">
        <w:rPr>
          <w:rFonts w:eastAsiaTheme="minorHAnsi"/>
          <w:i/>
          <w:color w:val="auto"/>
          <w:lang w:eastAsia="en-US"/>
        </w:rPr>
        <w:t xml:space="preserve">et al. </w:t>
      </w:r>
      <w:r w:rsidRPr="00F225AE">
        <w:rPr>
          <w:rFonts w:eastAsiaTheme="minorHAnsi"/>
          <w:color w:val="auto"/>
          <w:lang w:eastAsia="en-US"/>
        </w:rPr>
        <w:t xml:space="preserve">Taking treatment to the patient: development of a home TL-01 ultraviolet B phototherapy service. British Journal of Dermatology. </w:t>
      </w:r>
      <w:proofErr w:type="gramStart"/>
      <w:r w:rsidRPr="00F225AE">
        <w:rPr>
          <w:rFonts w:eastAsiaTheme="minorHAnsi"/>
          <w:color w:val="auto"/>
          <w:lang w:eastAsia="en-US"/>
        </w:rPr>
        <w:t>2002;147:957</w:t>
      </w:r>
      <w:proofErr w:type="gramEnd"/>
      <w:r w:rsidRPr="00F225AE">
        <w:rPr>
          <w:rFonts w:eastAsiaTheme="minorHAnsi"/>
          <w:color w:val="auto"/>
          <w:lang w:eastAsia="en-US"/>
        </w:rPr>
        <w:t xml:space="preserve">-965. </w:t>
      </w:r>
      <w:hyperlink r:id="rId13" w:history="1">
        <w:r w:rsidRPr="00F225AE">
          <w:rPr>
            <w:rFonts w:eastAsiaTheme="minorHAnsi"/>
            <w:color w:val="0000FF"/>
            <w:u w:val="single"/>
            <w:lang w:eastAsia="en-US"/>
          </w:rPr>
          <w:t>https://doi.org/10.1046/j.1365-2133.2002.04860.x</w:t>
        </w:r>
      </w:hyperlink>
      <w:r w:rsidRPr="00F225AE">
        <w:rPr>
          <w:rFonts w:eastAsiaTheme="minorHAnsi"/>
          <w:color w:val="auto"/>
          <w:lang w:eastAsia="en-US"/>
        </w:rPr>
        <w:t xml:space="preserve"> </w:t>
      </w:r>
    </w:p>
    <w:p w14:paraId="42409D75" w14:textId="77777777" w:rsidR="00F225AE" w:rsidRPr="00F225AE" w:rsidRDefault="00F225AE" w:rsidP="001562F1">
      <w:pPr>
        <w:numPr>
          <w:ilvl w:val="0"/>
          <w:numId w:val="8"/>
        </w:numPr>
        <w:tabs>
          <w:tab w:val="clear" w:pos="360"/>
        </w:tabs>
        <w:ind w:left="567" w:hanging="567"/>
        <w:jc w:val="both"/>
        <w:rPr>
          <w:rFonts w:eastAsiaTheme="minorHAnsi"/>
          <w:color w:val="auto"/>
          <w:lang w:eastAsia="en-US"/>
        </w:rPr>
      </w:pPr>
      <w:r w:rsidRPr="00F225AE">
        <w:rPr>
          <w:rFonts w:eastAsiaTheme="minorHAnsi"/>
          <w:color w:val="auto"/>
          <w:lang w:eastAsia="en-US"/>
        </w:rPr>
        <w:t xml:space="preserve">The mean value of these measurements is multiplied by a correction factor (also known as a shielding factor or the Direct-to-Indirect ratio (DIR)) to obtain the DPI. The DIR is likely to vary depending on the phototherapy cabinet. A home phototherapy unit will have a very different DIR to a full body phototherapy cabinet. </w:t>
      </w:r>
    </w:p>
    <w:p w14:paraId="43E56D4B" w14:textId="77777777" w:rsidR="00F225AE" w:rsidRPr="00F225AE" w:rsidRDefault="00F225AE" w:rsidP="001562F1">
      <w:pPr>
        <w:numPr>
          <w:ilvl w:val="0"/>
          <w:numId w:val="8"/>
        </w:numPr>
        <w:tabs>
          <w:tab w:val="clear" w:pos="360"/>
        </w:tabs>
        <w:ind w:left="567" w:hanging="567"/>
        <w:jc w:val="both"/>
        <w:rPr>
          <w:rFonts w:eastAsiaTheme="minorHAnsi"/>
          <w:color w:val="auto"/>
          <w:lang w:eastAsia="en-US"/>
        </w:rPr>
      </w:pPr>
      <w:r w:rsidRPr="00F225AE">
        <w:rPr>
          <w:rFonts w:eastAsiaTheme="minorHAnsi"/>
          <w:color w:val="auto"/>
          <w:lang w:eastAsia="en-US"/>
        </w:rPr>
        <w:t>The investigator should determine the appropriate shielding factor, either by direct measurement or reference to published values.</w:t>
      </w:r>
    </w:p>
    <w:p w14:paraId="539E9D47" w14:textId="77777777" w:rsidR="00F225AE" w:rsidRPr="00F225AE" w:rsidRDefault="00F225AE" w:rsidP="001562F1">
      <w:pPr>
        <w:numPr>
          <w:ilvl w:val="0"/>
          <w:numId w:val="8"/>
        </w:numPr>
        <w:tabs>
          <w:tab w:val="clear" w:pos="360"/>
        </w:tabs>
        <w:ind w:left="567" w:hanging="567"/>
        <w:jc w:val="both"/>
        <w:rPr>
          <w:rFonts w:eastAsiaTheme="minorHAnsi"/>
          <w:color w:val="auto"/>
          <w:lang w:eastAsia="en-US"/>
        </w:rPr>
      </w:pPr>
      <w:r w:rsidRPr="00F225AE">
        <w:rPr>
          <w:rFonts w:eastAsiaTheme="minorHAnsi"/>
          <w:color w:val="auto"/>
          <w:lang w:eastAsia="en-US"/>
        </w:rPr>
        <w:t>Determination of the shielding factor should be properly documented.</w:t>
      </w:r>
    </w:p>
    <w:p w14:paraId="07048E21" w14:textId="77777777" w:rsidR="00F225AE" w:rsidRPr="00F225AE" w:rsidRDefault="00F225AE" w:rsidP="00F225AE">
      <w:pPr>
        <w:jc w:val="both"/>
        <w:rPr>
          <w:rFonts w:eastAsiaTheme="minorHAnsi"/>
          <w:color w:val="auto"/>
          <w:lang w:eastAsia="en-US"/>
        </w:rPr>
      </w:pPr>
    </w:p>
    <w:p w14:paraId="54CD3997" w14:textId="54919AC4" w:rsidR="00F225AE" w:rsidRPr="00F225AE" w:rsidRDefault="00F225AE" w:rsidP="003D32F5">
      <w:pPr>
        <w:pStyle w:val="Heading2"/>
      </w:pPr>
      <w:bookmarkStart w:id="10" w:name="_Toc134530365"/>
      <w:r w:rsidRPr="00F225AE">
        <w:t>(d)</w:t>
      </w:r>
      <w:r w:rsidR="001562F1" w:rsidRPr="00F225AE">
        <w:t xml:space="preserve">  </w:t>
      </w:r>
      <w:r w:rsidR="001562F1" w:rsidRPr="00F225AE">
        <w:tab/>
      </w:r>
      <w:r w:rsidRPr="00F225AE">
        <w:t>Safety</w:t>
      </w:r>
      <w:bookmarkEnd w:id="10"/>
    </w:p>
    <w:p w14:paraId="60273922" w14:textId="77777777" w:rsidR="00F225AE" w:rsidRPr="00F225AE" w:rsidRDefault="00F225AE" w:rsidP="001562F1">
      <w:pPr>
        <w:numPr>
          <w:ilvl w:val="0"/>
          <w:numId w:val="9"/>
        </w:numPr>
        <w:tabs>
          <w:tab w:val="clear" w:pos="360"/>
        </w:tabs>
        <w:ind w:left="567" w:hanging="567"/>
        <w:jc w:val="both"/>
        <w:rPr>
          <w:rFonts w:eastAsiaTheme="minorHAnsi"/>
          <w:color w:val="auto"/>
          <w:lang w:eastAsia="en-US"/>
        </w:rPr>
      </w:pPr>
      <w:r w:rsidRPr="00F225AE">
        <w:rPr>
          <w:rFonts w:eastAsiaTheme="minorHAnsi"/>
          <w:color w:val="auto"/>
          <w:lang w:eastAsia="en-US"/>
        </w:rPr>
        <w:t>Ultra-violet radiation is potentially harmful.</w:t>
      </w:r>
    </w:p>
    <w:p w14:paraId="5BC7C10A" w14:textId="77777777" w:rsidR="00F225AE" w:rsidRPr="00F225AE" w:rsidRDefault="00F225AE" w:rsidP="001562F1">
      <w:pPr>
        <w:numPr>
          <w:ilvl w:val="0"/>
          <w:numId w:val="9"/>
        </w:numPr>
        <w:tabs>
          <w:tab w:val="clear" w:pos="360"/>
        </w:tabs>
        <w:ind w:left="567" w:hanging="567"/>
        <w:jc w:val="both"/>
        <w:rPr>
          <w:rFonts w:eastAsiaTheme="minorHAnsi"/>
          <w:color w:val="auto"/>
          <w:lang w:eastAsia="en-US"/>
        </w:rPr>
      </w:pPr>
      <w:r w:rsidRPr="00F225AE">
        <w:rPr>
          <w:rFonts w:eastAsiaTheme="minorHAnsi"/>
          <w:color w:val="auto"/>
          <w:lang w:eastAsia="en-US"/>
        </w:rPr>
        <w:t>A risk assessment should be carried out.</w:t>
      </w:r>
    </w:p>
    <w:p w14:paraId="194587DC" w14:textId="77777777" w:rsidR="00F225AE" w:rsidRPr="00F225AE" w:rsidRDefault="00F225AE" w:rsidP="001562F1">
      <w:pPr>
        <w:numPr>
          <w:ilvl w:val="0"/>
          <w:numId w:val="9"/>
        </w:numPr>
        <w:tabs>
          <w:tab w:val="clear" w:pos="360"/>
        </w:tabs>
        <w:ind w:left="567" w:hanging="567"/>
        <w:jc w:val="both"/>
        <w:rPr>
          <w:rFonts w:eastAsiaTheme="minorHAnsi"/>
          <w:color w:val="auto"/>
          <w:lang w:eastAsia="en-US"/>
        </w:rPr>
      </w:pPr>
      <w:r w:rsidRPr="00F225AE">
        <w:rPr>
          <w:rFonts w:eastAsiaTheme="minorHAnsi"/>
          <w:color w:val="auto"/>
          <w:lang w:eastAsia="en-US"/>
        </w:rPr>
        <w:t>Safety guidelines should be issued to cover all staff working in the vicinity of the treatment units.</w:t>
      </w:r>
    </w:p>
    <w:p w14:paraId="1B79B3A1" w14:textId="77777777" w:rsidR="00F225AE" w:rsidRPr="00F225AE" w:rsidRDefault="00F225AE" w:rsidP="001562F1">
      <w:pPr>
        <w:numPr>
          <w:ilvl w:val="0"/>
          <w:numId w:val="9"/>
        </w:numPr>
        <w:tabs>
          <w:tab w:val="clear" w:pos="360"/>
        </w:tabs>
        <w:ind w:left="567" w:hanging="567"/>
        <w:jc w:val="both"/>
        <w:rPr>
          <w:rFonts w:eastAsiaTheme="minorHAnsi"/>
          <w:color w:val="auto"/>
          <w:lang w:eastAsia="en-US"/>
        </w:rPr>
      </w:pPr>
      <w:r w:rsidRPr="00F225AE">
        <w:rPr>
          <w:rFonts w:eastAsiaTheme="minorHAnsi"/>
          <w:color w:val="auto"/>
          <w:lang w:eastAsia="en-US"/>
        </w:rPr>
        <w:t>Staff should exercise prudent avoidance and ensure that skin and eyes are not exposed unnecessarily to ultra-violet radiation.</w:t>
      </w:r>
    </w:p>
    <w:p w14:paraId="67FAC301" w14:textId="0B041DF8" w:rsidR="00F225AE" w:rsidRPr="00F225AE" w:rsidRDefault="00F225AE" w:rsidP="003D32F5">
      <w:pPr>
        <w:pStyle w:val="Heading2"/>
        <w:rPr>
          <w:highlight w:val="green"/>
        </w:rPr>
      </w:pPr>
      <w:bookmarkStart w:id="11" w:name="_Toc134530366"/>
      <w:r w:rsidRPr="00F225AE">
        <w:lastRenderedPageBreak/>
        <w:t>(e)</w:t>
      </w:r>
      <w:r w:rsidR="001562F1" w:rsidRPr="00F225AE">
        <w:t xml:space="preserve">  </w:t>
      </w:r>
      <w:r w:rsidR="001562F1" w:rsidRPr="00F225AE">
        <w:tab/>
      </w:r>
      <w:r w:rsidRPr="00F225AE">
        <w:t>Lamp Replacement</w:t>
      </w:r>
      <w:bookmarkEnd w:id="11"/>
    </w:p>
    <w:p w14:paraId="1A17E418" w14:textId="77777777" w:rsidR="00F225AE" w:rsidRPr="00F225AE" w:rsidRDefault="00F225AE" w:rsidP="00F225AE">
      <w:pPr>
        <w:jc w:val="both"/>
        <w:rPr>
          <w:rFonts w:asciiTheme="minorHAnsi" w:eastAsiaTheme="minorHAnsi" w:hAnsiTheme="minorHAnsi" w:cstheme="minorBidi"/>
          <w:color w:val="auto"/>
          <w:lang w:eastAsia="en-US"/>
        </w:rPr>
      </w:pPr>
      <w:r w:rsidRPr="00F225AE">
        <w:rPr>
          <w:rFonts w:eastAsiaTheme="minorHAnsi"/>
          <w:color w:val="auto"/>
          <w:lang w:eastAsia="en-US"/>
        </w:rPr>
        <w:t xml:space="preserve">Refer to </w:t>
      </w:r>
      <w:proofErr w:type="spellStart"/>
      <w:r w:rsidRPr="00F225AE">
        <w:rPr>
          <w:rFonts w:eastAsiaTheme="minorHAnsi"/>
          <w:color w:val="auto"/>
          <w:lang w:eastAsia="en-US"/>
        </w:rPr>
        <w:t>Photonet</w:t>
      </w:r>
      <w:proofErr w:type="spellEnd"/>
      <w:r w:rsidRPr="00F225AE">
        <w:rPr>
          <w:rFonts w:eastAsiaTheme="minorHAnsi"/>
          <w:color w:val="auto"/>
          <w:lang w:eastAsia="en-US"/>
        </w:rPr>
        <w:t xml:space="preserve"> Lamp replacement protocol available on </w:t>
      </w:r>
      <w:proofErr w:type="spellStart"/>
      <w:r w:rsidRPr="00F225AE">
        <w:rPr>
          <w:rFonts w:eastAsiaTheme="minorHAnsi"/>
          <w:color w:val="auto"/>
          <w:lang w:eastAsia="en-US"/>
        </w:rPr>
        <w:t>Photonet</w:t>
      </w:r>
      <w:proofErr w:type="spellEnd"/>
      <w:r w:rsidRPr="00F225AE">
        <w:rPr>
          <w:rFonts w:eastAsiaTheme="minorHAnsi"/>
          <w:color w:val="auto"/>
          <w:lang w:eastAsia="en-US"/>
        </w:rPr>
        <w:t xml:space="preserve"> website  </w:t>
      </w:r>
      <w:hyperlink r:id="rId14" w:history="1">
        <w:r w:rsidRPr="00F225AE">
          <w:rPr>
            <w:rFonts w:eastAsiaTheme="minorHAnsi"/>
            <w:color w:val="800080"/>
            <w:u w:val="single"/>
            <w:lang w:eastAsia="en-US"/>
          </w:rPr>
          <w:t>www.photonet.scot.nhs.uk</w:t>
        </w:r>
      </w:hyperlink>
    </w:p>
    <w:p w14:paraId="21962152" w14:textId="77777777" w:rsidR="00F225AE" w:rsidRPr="00F225AE" w:rsidRDefault="00F225AE" w:rsidP="00F225AE">
      <w:pPr>
        <w:jc w:val="both"/>
        <w:rPr>
          <w:rFonts w:asciiTheme="minorHAnsi" w:eastAsiaTheme="minorHAnsi" w:hAnsiTheme="minorHAnsi" w:cstheme="minorBidi"/>
          <w:color w:val="auto"/>
          <w:lang w:eastAsia="en-US"/>
        </w:rPr>
      </w:pPr>
    </w:p>
    <w:p w14:paraId="17890DE6" w14:textId="77777777" w:rsidR="00F225AE" w:rsidRPr="00F225AE" w:rsidRDefault="00F225AE" w:rsidP="00F225AE">
      <w:pPr>
        <w:rPr>
          <w:rFonts w:asciiTheme="minorHAnsi" w:eastAsiaTheme="minorHAnsi" w:hAnsiTheme="minorHAnsi" w:cstheme="minorBidi"/>
          <w:color w:val="auto"/>
          <w:lang w:eastAsia="en-US"/>
        </w:rPr>
      </w:pPr>
      <w:r w:rsidRPr="00F225AE">
        <w:rPr>
          <w:rFonts w:asciiTheme="minorHAnsi" w:eastAsiaTheme="minorHAnsi" w:hAnsiTheme="minorHAnsi" w:cstheme="minorBidi"/>
          <w:color w:val="auto"/>
          <w:lang w:eastAsia="en-US"/>
        </w:rPr>
        <w:br w:type="page"/>
      </w:r>
    </w:p>
    <w:p w14:paraId="7FE6F27D" w14:textId="77777777" w:rsidR="00F225AE" w:rsidRPr="00F225AE" w:rsidRDefault="00F225AE" w:rsidP="001562F1">
      <w:pPr>
        <w:pStyle w:val="Heading1"/>
      </w:pPr>
      <w:bookmarkStart w:id="12" w:name="_Toc134530367"/>
      <w:r w:rsidRPr="00F225AE">
        <w:lastRenderedPageBreak/>
        <w:t>Dosimetry Protocol No. 3: Calibration of Handheld MED Testers</w:t>
      </w:r>
      <w:bookmarkEnd w:id="12"/>
    </w:p>
    <w:p w14:paraId="59F19F9E" w14:textId="77777777" w:rsidR="00F225AE" w:rsidRPr="00F225AE" w:rsidRDefault="00F225AE" w:rsidP="00F225AE">
      <w:pPr>
        <w:ind w:left="567"/>
        <w:contextualSpacing/>
        <w:jc w:val="both"/>
        <w:rPr>
          <w:b/>
          <w:color w:val="auto"/>
        </w:rPr>
      </w:pPr>
    </w:p>
    <w:p w14:paraId="25855421" w14:textId="77777777" w:rsidR="00F225AE" w:rsidRPr="00F225AE" w:rsidRDefault="00F225AE" w:rsidP="00F225AE">
      <w:pPr>
        <w:rPr>
          <w:rFonts w:eastAsiaTheme="minorHAnsi"/>
          <w:color w:val="auto"/>
          <w:lang w:eastAsia="en-US"/>
        </w:rPr>
      </w:pPr>
      <w:r w:rsidRPr="00F225AE">
        <w:rPr>
          <w:rFonts w:eastAsiaTheme="minorHAnsi"/>
          <w:color w:val="auto"/>
          <w:lang w:eastAsia="en-US"/>
        </w:rPr>
        <w:t>Below are a list of acceptance and / or quality control tests for UV handheld MED / MPD testers.</w:t>
      </w:r>
    </w:p>
    <w:p w14:paraId="06F946C4" w14:textId="77777777" w:rsidR="00F225AE" w:rsidRPr="00F225AE" w:rsidRDefault="00F225AE" w:rsidP="001562F1">
      <w:pPr>
        <w:numPr>
          <w:ilvl w:val="0"/>
          <w:numId w:val="10"/>
        </w:numPr>
        <w:rPr>
          <w:rFonts w:eastAsiaTheme="minorHAnsi"/>
          <w:color w:val="auto"/>
          <w:lang w:eastAsia="en-US"/>
        </w:rPr>
      </w:pPr>
      <w:r w:rsidRPr="00F225AE">
        <w:rPr>
          <w:rFonts w:eastAsiaTheme="minorHAnsi"/>
          <w:color w:val="auto"/>
          <w:lang w:eastAsia="en-US"/>
        </w:rPr>
        <w:t>Determine the spectrum of the handheld MED tester</w:t>
      </w:r>
    </w:p>
    <w:p w14:paraId="241C7957" w14:textId="77777777" w:rsidR="00F225AE" w:rsidRPr="00F225AE" w:rsidRDefault="00F225AE" w:rsidP="001562F1">
      <w:pPr>
        <w:numPr>
          <w:ilvl w:val="0"/>
          <w:numId w:val="10"/>
        </w:numPr>
        <w:rPr>
          <w:rFonts w:eastAsiaTheme="minorHAnsi"/>
          <w:color w:val="auto"/>
          <w:lang w:eastAsia="en-US"/>
        </w:rPr>
      </w:pPr>
      <w:r w:rsidRPr="00F225AE">
        <w:rPr>
          <w:rFonts w:eastAsiaTheme="minorHAnsi"/>
          <w:color w:val="auto"/>
          <w:lang w:eastAsia="en-US"/>
        </w:rPr>
        <w:t>Determine the change in output with time</w:t>
      </w:r>
    </w:p>
    <w:p w14:paraId="7367B18E" w14:textId="77777777" w:rsidR="00F225AE" w:rsidRPr="00F225AE" w:rsidRDefault="00F225AE" w:rsidP="001562F1">
      <w:pPr>
        <w:numPr>
          <w:ilvl w:val="0"/>
          <w:numId w:val="10"/>
        </w:numPr>
        <w:rPr>
          <w:rFonts w:eastAsiaTheme="minorHAnsi"/>
          <w:color w:val="auto"/>
          <w:lang w:eastAsia="en-US"/>
        </w:rPr>
      </w:pPr>
      <w:r w:rsidRPr="00F225AE">
        <w:rPr>
          <w:rFonts w:eastAsiaTheme="minorHAnsi"/>
          <w:color w:val="auto"/>
          <w:lang w:eastAsia="en-US"/>
        </w:rPr>
        <w:t xml:space="preserve">Determine warm-up, </w:t>
      </w:r>
      <w:proofErr w:type="gramStart"/>
      <w:r w:rsidRPr="00F225AE">
        <w:rPr>
          <w:rFonts w:eastAsiaTheme="minorHAnsi"/>
          <w:color w:val="auto"/>
          <w:lang w:eastAsia="en-US"/>
        </w:rPr>
        <w:t>exposure</w:t>
      </w:r>
      <w:proofErr w:type="gramEnd"/>
      <w:r w:rsidRPr="00F225AE">
        <w:rPr>
          <w:rFonts w:eastAsiaTheme="minorHAnsi"/>
          <w:color w:val="auto"/>
          <w:lang w:eastAsia="en-US"/>
        </w:rPr>
        <w:t xml:space="preserve"> and cool down periods</w:t>
      </w:r>
    </w:p>
    <w:p w14:paraId="6C138234" w14:textId="77777777" w:rsidR="00F225AE" w:rsidRPr="00F225AE" w:rsidRDefault="00F225AE" w:rsidP="001562F1">
      <w:pPr>
        <w:numPr>
          <w:ilvl w:val="0"/>
          <w:numId w:val="10"/>
        </w:numPr>
        <w:rPr>
          <w:rFonts w:eastAsiaTheme="minorHAnsi"/>
          <w:color w:val="auto"/>
          <w:lang w:eastAsia="en-US"/>
        </w:rPr>
      </w:pPr>
      <w:r w:rsidRPr="00F225AE">
        <w:rPr>
          <w:rFonts w:eastAsiaTheme="minorHAnsi"/>
          <w:color w:val="auto"/>
          <w:lang w:eastAsia="en-US"/>
        </w:rPr>
        <w:t>Determine the percentages of the apertures on the handheld MED tester</w:t>
      </w:r>
    </w:p>
    <w:p w14:paraId="4376FB34" w14:textId="77777777" w:rsidR="00F225AE" w:rsidRPr="00F225AE" w:rsidRDefault="00F225AE" w:rsidP="001562F1">
      <w:pPr>
        <w:numPr>
          <w:ilvl w:val="0"/>
          <w:numId w:val="10"/>
        </w:numPr>
        <w:rPr>
          <w:rFonts w:eastAsiaTheme="minorHAnsi"/>
          <w:color w:val="auto"/>
          <w:lang w:eastAsia="en-US"/>
        </w:rPr>
      </w:pPr>
      <w:r w:rsidRPr="00F225AE">
        <w:rPr>
          <w:rFonts w:eastAsiaTheme="minorHAnsi"/>
          <w:color w:val="auto"/>
          <w:lang w:eastAsia="en-US"/>
        </w:rPr>
        <w:t>Check the surface temperature of the MED tester during the exposure period.</w:t>
      </w:r>
    </w:p>
    <w:p w14:paraId="468FCC89" w14:textId="77777777" w:rsidR="00F225AE" w:rsidRPr="00F225AE" w:rsidRDefault="00F225AE" w:rsidP="00F225AE">
      <w:pPr>
        <w:rPr>
          <w:rFonts w:eastAsiaTheme="minorHAnsi"/>
          <w:color w:val="auto"/>
          <w:lang w:eastAsia="en-US"/>
        </w:rPr>
      </w:pPr>
    </w:p>
    <w:p w14:paraId="15A68B06" w14:textId="77777777" w:rsidR="00F225AE" w:rsidRPr="00F225AE" w:rsidRDefault="00F225AE" w:rsidP="00F225AE">
      <w:pPr>
        <w:rPr>
          <w:rFonts w:eastAsiaTheme="minorHAnsi"/>
          <w:color w:val="auto"/>
          <w:lang w:eastAsia="en-US"/>
        </w:rPr>
      </w:pPr>
      <w:r w:rsidRPr="00F225AE">
        <w:rPr>
          <w:rFonts w:eastAsiaTheme="minorHAnsi"/>
          <w:color w:val="auto"/>
          <w:lang w:eastAsia="en-US"/>
        </w:rPr>
        <w:t xml:space="preserve">It is important to test the handheld MED tester in the </w:t>
      </w:r>
      <w:proofErr w:type="gramStart"/>
      <w:r w:rsidRPr="00F225AE">
        <w:rPr>
          <w:rFonts w:eastAsiaTheme="minorHAnsi"/>
          <w:color w:val="auto"/>
          <w:lang w:eastAsia="en-US"/>
        </w:rPr>
        <w:t>manner in which</w:t>
      </w:r>
      <w:proofErr w:type="gramEnd"/>
      <w:r w:rsidRPr="00F225AE">
        <w:rPr>
          <w:rFonts w:eastAsiaTheme="minorHAnsi"/>
          <w:color w:val="auto"/>
          <w:lang w:eastAsia="en-US"/>
        </w:rPr>
        <w:t xml:space="preserve"> it will be used - without disassembling or removing any components. Often the apertures of these handheld devices are small and therefore a small input optic (diffuser) to your measurement equipment is critical. In these circumstances, the light being measured should always overfill the input optics of the measurement device, otherwise the accuracy and repeatability of measurements will be poor. Appropriate measurement devices are described in the Guidelines on the measurement of ultraviolet radiation levels in ultraviolet phototherapy: report issued by the British Association of Dermatologists and British </w:t>
      </w:r>
      <w:proofErr w:type="spellStart"/>
      <w:r w:rsidRPr="00F225AE">
        <w:rPr>
          <w:rFonts w:eastAsiaTheme="minorHAnsi"/>
          <w:color w:val="auto"/>
          <w:lang w:eastAsia="en-US"/>
        </w:rPr>
        <w:t>Photodermatology</w:t>
      </w:r>
      <w:proofErr w:type="spellEnd"/>
      <w:r w:rsidRPr="00F225AE">
        <w:rPr>
          <w:rFonts w:eastAsiaTheme="minorHAnsi"/>
          <w:color w:val="auto"/>
          <w:lang w:eastAsia="en-US"/>
        </w:rPr>
        <w:t xml:space="preserve"> Group 2015 (</w:t>
      </w:r>
      <w:r w:rsidRPr="00F225AE">
        <w:rPr>
          <w:rFonts w:eastAsiaTheme="minorHAnsi"/>
          <w:i/>
          <w:color w:val="auto"/>
          <w:lang w:eastAsia="en-US"/>
        </w:rPr>
        <w:t xml:space="preserve">British Journal of Dermatology. </w:t>
      </w:r>
      <w:proofErr w:type="gramStart"/>
      <w:r w:rsidRPr="00F225AE">
        <w:rPr>
          <w:rFonts w:eastAsiaTheme="minorHAnsi"/>
          <w:i/>
          <w:color w:val="auto"/>
          <w:lang w:eastAsia="en-US"/>
        </w:rPr>
        <w:t>2015;173:333</w:t>
      </w:r>
      <w:proofErr w:type="gramEnd"/>
      <w:r w:rsidRPr="00F225AE">
        <w:rPr>
          <w:rFonts w:eastAsiaTheme="minorHAnsi"/>
          <w:i/>
          <w:color w:val="auto"/>
          <w:lang w:eastAsia="en-US"/>
        </w:rPr>
        <w:t>-350</w:t>
      </w:r>
      <w:r w:rsidRPr="00F225AE">
        <w:rPr>
          <w:rFonts w:eastAsiaTheme="minorHAnsi"/>
          <w:color w:val="auto"/>
          <w:lang w:eastAsia="en-US"/>
        </w:rPr>
        <w:t>). These tests do not need to be performed in the order given here and indeed it may be possible for multiple checks to be performed simultaneously.</w:t>
      </w:r>
    </w:p>
    <w:p w14:paraId="31302432" w14:textId="77777777" w:rsidR="00F225AE" w:rsidRPr="00F225AE" w:rsidRDefault="00F225AE" w:rsidP="00F225AE">
      <w:pPr>
        <w:rPr>
          <w:rFonts w:eastAsiaTheme="minorHAnsi"/>
          <w:color w:val="auto"/>
          <w:lang w:eastAsia="en-US"/>
        </w:rPr>
      </w:pPr>
    </w:p>
    <w:p w14:paraId="1EE962CA" w14:textId="77777777" w:rsidR="00F225AE" w:rsidRPr="00F225AE" w:rsidRDefault="00F225AE" w:rsidP="00F225AE">
      <w:pPr>
        <w:rPr>
          <w:rFonts w:eastAsiaTheme="minorHAnsi"/>
          <w:color w:val="auto"/>
          <w:lang w:eastAsia="en-US"/>
        </w:rPr>
      </w:pPr>
    </w:p>
    <w:p w14:paraId="7A7FA3F0" w14:textId="77777777" w:rsidR="00F225AE" w:rsidRPr="00795127" w:rsidRDefault="00F225AE" w:rsidP="00795127">
      <w:pPr>
        <w:pStyle w:val="Quote"/>
      </w:pPr>
      <w:r w:rsidRPr="00795127">
        <w:t>Determine the spectrum of the handheld MED tester</w:t>
      </w:r>
    </w:p>
    <w:p w14:paraId="0DC1361C" w14:textId="77777777" w:rsidR="00F225AE" w:rsidRPr="00F225AE" w:rsidRDefault="00F225AE" w:rsidP="00F225AE">
      <w:pPr>
        <w:ind w:left="720"/>
        <w:contextualSpacing/>
        <w:rPr>
          <w:color w:val="auto"/>
        </w:rPr>
      </w:pPr>
    </w:p>
    <w:p w14:paraId="484596D4" w14:textId="77777777" w:rsidR="00F225AE" w:rsidRPr="00F225AE" w:rsidRDefault="00F225AE" w:rsidP="00F225AE">
      <w:pPr>
        <w:rPr>
          <w:rFonts w:eastAsiaTheme="minorHAnsi"/>
          <w:color w:val="auto"/>
          <w:lang w:eastAsia="en-US"/>
        </w:rPr>
      </w:pPr>
      <w:r w:rsidRPr="00F225AE">
        <w:rPr>
          <w:rFonts w:eastAsiaTheme="minorHAnsi"/>
          <w:color w:val="auto"/>
          <w:lang w:eastAsia="en-US"/>
        </w:rPr>
        <w:t xml:space="preserve">Ideally the handheld MED tester spectrum should be measured with a calibrated spectroradiometer, either a double grating scanning system or an array spectrometer. Details of using these devices for UV measurements can be found in the Guidelines on the measurement of ultraviolet radiation levels in ultraviolet phototherapy: report issued by the British Association of Dermatologists and British </w:t>
      </w:r>
      <w:proofErr w:type="spellStart"/>
      <w:r w:rsidRPr="00F225AE">
        <w:rPr>
          <w:rFonts w:eastAsiaTheme="minorHAnsi"/>
          <w:color w:val="auto"/>
          <w:lang w:eastAsia="en-US"/>
        </w:rPr>
        <w:t>Photodermatology</w:t>
      </w:r>
      <w:proofErr w:type="spellEnd"/>
      <w:r w:rsidRPr="00F225AE">
        <w:rPr>
          <w:rFonts w:eastAsiaTheme="minorHAnsi"/>
          <w:color w:val="auto"/>
          <w:lang w:eastAsia="en-US"/>
        </w:rPr>
        <w:t xml:space="preserve"> Group 2015 (</w:t>
      </w:r>
      <w:r w:rsidRPr="00F225AE">
        <w:rPr>
          <w:rFonts w:eastAsiaTheme="minorHAnsi"/>
          <w:i/>
          <w:color w:val="auto"/>
          <w:lang w:eastAsia="en-US"/>
        </w:rPr>
        <w:t xml:space="preserve">British Journal of Dermatology. </w:t>
      </w:r>
      <w:proofErr w:type="gramStart"/>
      <w:r w:rsidRPr="00F225AE">
        <w:rPr>
          <w:rFonts w:eastAsiaTheme="minorHAnsi"/>
          <w:i/>
          <w:color w:val="auto"/>
          <w:lang w:eastAsia="en-US"/>
        </w:rPr>
        <w:t>2015;173:333</w:t>
      </w:r>
      <w:proofErr w:type="gramEnd"/>
      <w:r w:rsidRPr="00F225AE">
        <w:rPr>
          <w:rFonts w:eastAsiaTheme="minorHAnsi"/>
          <w:i/>
          <w:color w:val="auto"/>
          <w:lang w:eastAsia="en-US"/>
        </w:rPr>
        <w:t>-350</w:t>
      </w:r>
      <w:r w:rsidRPr="00F225AE">
        <w:rPr>
          <w:rFonts w:eastAsiaTheme="minorHAnsi"/>
          <w:color w:val="auto"/>
          <w:lang w:eastAsia="en-US"/>
        </w:rPr>
        <w:t xml:space="preserve">).  This check may be performed with a scanning system after a sufficient warm-up time such that a stable output of the lamp has been achieved (see 3.2. Determine the change in output with time) or during the anticipated exposure period if using an array spectrometer (see 3.3. Determine warm-up, </w:t>
      </w:r>
      <w:proofErr w:type="gramStart"/>
      <w:r w:rsidRPr="00F225AE">
        <w:rPr>
          <w:rFonts w:eastAsiaTheme="minorHAnsi"/>
          <w:color w:val="auto"/>
          <w:lang w:eastAsia="en-US"/>
        </w:rPr>
        <w:t>exposure</w:t>
      </w:r>
      <w:proofErr w:type="gramEnd"/>
      <w:r w:rsidRPr="00F225AE">
        <w:rPr>
          <w:rFonts w:eastAsiaTheme="minorHAnsi"/>
          <w:color w:val="auto"/>
          <w:lang w:eastAsia="en-US"/>
        </w:rPr>
        <w:t xml:space="preserve"> and cool down periods).</w:t>
      </w:r>
    </w:p>
    <w:p w14:paraId="30B827DF" w14:textId="77777777" w:rsidR="00F225AE" w:rsidRPr="00F225AE" w:rsidRDefault="00F225AE" w:rsidP="00F225AE">
      <w:pPr>
        <w:rPr>
          <w:rFonts w:eastAsiaTheme="minorHAnsi"/>
          <w:color w:val="auto"/>
          <w:lang w:eastAsia="en-US"/>
        </w:rPr>
      </w:pPr>
    </w:p>
    <w:p w14:paraId="23DE5C39" w14:textId="77777777" w:rsidR="00F225AE" w:rsidRPr="00F225AE" w:rsidRDefault="00F225AE" w:rsidP="00F225AE">
      <w:pPr>
        <w:rPr>
          <w:rFonts w:eastAsiaTheme="minorHAnsi"/>
          <w:color w:val="auto"/>
          <w:lang w:eastAsia="en-US"/>
        </w:rPr>
      </w:pPr>
      <w:r w:rsidRPr="00F225AE">
        <w:rPr>
          <w:rFonts w:eastAsiaTheme="minorHAnsi"/>
          <w:color w:val="auto"/>
          <w:lang w:eastAsia="en-US"/>
        </w:rPr>
        <w:t xml:space="preserve">If these measurement systems are not available, it may be sufficient to confirm with the manufacturer the spectrum of the handheld device. For extra reassurance often the lamp within these units can be accessed and the model and manufacturer of lamp determined. Details of the lamp spectrum can then be obtained from the lamp manufacturer. </w:t>
      </w:r>
      <w:proofErr w:type="gramStart"/>
      <w:r w:rsidRPr="00F225AE">
        <w:rPr>
          <w:rFonts w:eastAsiaTheme="minorHAnsi"/>
          <w:color w:val="auto"/>
          <w:lang w:eastAsia="en-US"/>
        </w:rPr>
        <w:t>However</w:t>
      </w:r>
      <w:proofErr w:type="gramEnd"/>
      <w:r w:rsidRPr="00F225AE">
        <w:rPr>
          <w:rFonts w:eastAsiaTheme="minorHAnsi"/>
          <w:color w:val="auto"/>
          <w:lang w:eastAsia="en-US"/>
        </w:rPr>
        <w:t xml:space="preserve"> it is important to highlight that the spectrum that is clinically relevant is not just that of the lamp but the lamp combined with any material that the light passes through prior to impacting the skin.</w:t>
      </w:r>
    </w:p>
    <w:p w14:paraId="2484B1C1" w14:textId="77777777" w:rsidR="00F225AE" w:rsidRPr="00F225AE" w:rsidRDefault="00F225AE" w:rsidP="00F225AE">
      <w:pPr>
        <w:rPr>
          <w:rFonts w:eastAsiaTheme="minorHAnsi"/>
          <w:color w:val="auto"/>
          <w:lang w:eastAsia="en-US"/>
        </w:rPr>
      </w:pPr>
    </w:p>
    <w:p w14:paraId="11A3F1B0" w14:textId="65B7A5BE" w:rsidR="00795127" w:rsidRDefault="00795127">
      <w:pPr>
        <w:spacing w:after="200" w:line="276" w:lineRule="auto"/>
        <w:rPr>
          <w:rFonts w:eastAsiaTheme="minorHAnsi"/>
          <w:color w:val="auto"/>
          <w:lang w:eastAsia="en-US"/>
        </w:rPr>
      </w:pPr>
      <w:r>
        <w:rPr>
          <w:rFonts w:eastAsiaTheme="minorHAnsi"/>
          <w:color w:val="auto"/>
          <w:lang w:eastAsia="en-US"/>
        </w:rPr>
        <w:br w:type="page"/>
      </w:r>
    </w:p>
    <w:p w14:paraId="597BA5BB" w14:textId="77777777" w:rsidR="00F225AE" w:rsidRPr="00F225AE" w:rsidRDefault="00F225AE" w:rsidP="00795127">
      <w:pPr>
        <w:pStyle w:val="Quote"/>
      </w:pPr>
      <w:r w:rsidRPr="00F225AE">
        <w:lastRenderedPageBreak/>
        <w:t>Determine the change in output with time</w:t>
      </w:r>
    </w:p>
    <w:p w14:paraId="7791EAFF" w14:textId="77777777" w:rsidR="00F225AE" w:rsidRPr="00F225AE" w:rsidRDefault="00F225AE" w:rsidP="00F225AE">
      <w:pPr>
        <w:ind w:left="720"/>
        <w:contextualSpacing/>
        <w:rPr>
          <w:color w:val="auto"/>
        </w:rPr>
      </w:pPr>
    </w:p>
    <w:p w14:paraId="33F12057" w14:textId="77777777" w:rsidR="00F225AE" w:rsidRPr="00F225AE" w:rsidRDefault="00F225AE" w:rsidP="00F225AE">
      <w:pPr>
        <w:rPr>
          <w:rFonts w:eastAsiaTheme="minorHAnsi"/>
          <w:color w:val="auto"/>
          <w:lang w:eastAsia="en-US"/>
        </w:rPr>
      </w:pPr>
      <w:r w:rsidRPr="00F225AE">
        <w:rPr>
          <w:rFonts w:eastAsiaTheme="minorHAnsi"/>
          <w:color w:val="auto"/>
          <w:lang w:eastAsia="en-US"/>
        </w:rPr>
        <w:t xml:space="preserve">It is important to determine how the light output of the handheld MED tester varies with time, this will influence the determination of the warm-up and cool-down period. Position a detector over one of the apertures, switch on the unit and record the readings at regular intervals (without moving the </w:t>
      </w:r>
      <w:proofErr w:type="gramStart"/>
      <w:r w:rsidRPr="00F225AE">
        <w:rPr>
          <w:rFonts w:eastAsiaTheme="minorHAnsi"/>
          <w:color w:val="auto"/>
          <w:lang w:eastAsia="en-US"/>
        </w:rPr>
        <w:t>detector)  –</w:t>
      </w:r>
      <w:proofErr w:type="gramEnd"/>
      <w:r w:rsidRPr="00F225AE">
        <w:rPr>
          <w:rFonts w:eastAsiaTheme="minorHAnsi"/>
          <w:color w:val="auto"/>
          <w:lang w:eastAsia="en-US"/>
        </w:rPr>
        <w:t xml:space="preserve"> for example every 30 seconds. Recording the readings can either be done manually, with a data logger attached to the UV meter or with the UV meter’s own in-built data recording function if available. Record measurements until the readings become stable, however be careful not to exceed the manufacturers recommended “on” time which should be detailed in the user manual.</w:t>
      </w:r>
    </w:p>
    <w:p w14:paraId="74A8A66F" w14:textId="77777777" w:rsidR="00F225AE" w:rsidRPr="00F225AE" w:rsidRDefault="00F225AE" w:rsidP="00F225AE">
      <w:pPr>
        <w:rPr>
          <w:rFonts w:eastAsiaTheme="minorHAnsi"/>
          <w:color w:val="auto"/>
          <w:lang w:eastAsia="en-US"/>
        </w:rPr>
      </w:pPr>
    </w:p>
    <w:p w14:paraId="0505DD80" w14:textId="77777777" w:rsidR="00F225AE" w:rsidRPr="00F225AE" w:rsidRDefault="00F225AE" w:rsidP="00795127">
      <w:pPr>
        <w:pStyle w:val="Quote"/>
      </w:pPr>
      <w:r w:rsidRPr="00F225AE">
        <w:t xml:space="preserve">Determine the warm-up, </w:t>
      </w:r>
      <w:proofErr w:type="gramStart"/>
      <w:r w:rsidRPr="00F225AE">
        <w:t>exposure</w:t>
      </w:r>
      <w:proofErr w:type="gramEnd"/>
      <w:r w:rsidRPr="00F225AE">
        <w:t xml:space="preserve"> and cool down periods</w:t>
      </w:r>
    </w:p>
    <w:p w14:paraId="4D0F1DA3" w14:textId="77777777" w:rsidR="00F225AE" w:rsidRPr="00F225AE" w:rsidRDefault="00F225AE" w:rsidP="00F225AE">
      <w:pPr>
        <w:ind w:left="720"/>
        <w:contextualSpacing/>
        <w:rPr>
          <w:b/>
          <w:color w:val="auto"/>
        </w:rPr>
      </w:pPr>
    </w:p>
    <w:p w14:paraId="57F0E183" w14:textId="77777777" w:rsidR="00F225AE" w:rsidRPr="00F225AE" w:rsidRDefault="00F225AE" w:rsidP="00F225AE">
      <w:pPr>
        <w:rPr>
          <w:rFonts w:eastAsiaTheme="minorHAnsi"/>
          <w:color w:val="auto"/>
          <w:lang w:eastAsia="en-US"/>
        </w:rPr>
      </w:pPr>
      <w:r w:rsidRPr="00F225AE">
        <w:rPr>
          <w:rFonts w:eastAsiaTheme="minorHAnsi"/>
          <w:color w:val="auto"/>
          <w:lang w:eastAsia="en-US"/>
        </w:rPr>
        <w:t xml:space="preserve">After it has been determined how the output varies with time the warm-up period, exposure time and cool-down period can be determined. </w:t>
      </w:r>
    </w:p>
    <w:p w14:paraId="4F083CA0" w14:textId="77777777" w:rsidR="00F225AE" w:rsidRPr="00F225AE" w:rsidRDefault="00F225AE" w:rsidP="00F225AE">
      <w:pPr>
        <w:rPr>
          <w:rFonts w:eastAsiaTheme="minorHAnsi"/>
          <w:color w:val="auto"/>
          <w:lang w:eastAsia="en-US"/>
        </w:rPr>
      </w:pPr>
    </w:p>
    <w:p w14:paraId="0A0A9E65" w14:textId="77777777" w:rsidR="00F225AE" w:rsidRPr="00F225AE" w:rsidRDefault="00F225AE" w:rsidP="00795127">
      <w:pPr>
        <w:numPr>
          <w:ilvl w:val="0"/>
          <w:numId w:val="11"/>
        </w:numPr>
        <w:ind w:left="426" w:hanging="283"/>
        <w:rPr>
          <w:rFonts w:eastAsiaTheme="minorHAnsi"/>
          <w:color w:val="auto"/>
          <w:lang w:eastAsia="en-US"/>
        </w:rPr>
      </w:pPr>
      <w:r w:rsidRPr="00F225AE">
        <w:rPr>
          <w:rFonts w:eastAsiaTheme="minorHAnsi"/>
          <w:b/>
          <w:color w:val="auto"/>
          <w:lang w:eastAsia="en-US"/>
        </w:rPr>
        <w:t>Warm-up period</w:t>
      </w:r>
      <w:r w:rsidRPr="00F225AE">
        <w:rPr>
          <w:rFonts w:eastAsiaTheme="minorHAnsi"/>
          <w:b/>
          <w:color w:val="auto"/>
          <w:lang w:eastAsia="en-US"/>
        </w:rPr>
        <w:br/>
      </w:r>
      <w:r w:rsidRPr="00F225AE">
        <w:rPr>
          <w:rFonts w:eastAsiaTheme="minorHAnsi"/>
          <w:color w:val="auto"/>
          <w:lang w:eastAsia="en-US"/>
        </w:rPr>
        <w:t>You may wish to allow a warm-up period long enough that the lamp’s output becomes stable. This has the benefit that when the device is used clinically, the timing of placing the unit on the skin is not overly critical. The disadvantages are that the surface of the unit can become very hot and the device “on” time may exceed the manufacturer’s recommended “on” time.</w:t>
      </w:r>
    </w:p>
    <w:p w14:paraId="546B3B1E" w14:textId="77777777" w:rsidR="00F225AE" w:rsidRPr="00F225AE" w:rsidRDefault="00F225AE" w:rsidP="00795127">
      <w:pPr>
        <w:ind w:left="426" w:hanging="283"/>
        <w:rPr>
          <w:rFonts w:eastAsiaTheme="minorHAnsi"/>
          <w:color w:val="auto"/>
          <w:lang w:eastAsia="en-US"/>
        </w:rPr>
      </w:pPr>
      <w:r w:rsidRPr="00F225AE">
        <w:rPr>
          <w:rFonts w:eastAsiaTheme="minorHAnsi"/>
          <w:color w:val="auto"/>
          <w:lang w:eastAsia="en-US"/>
        </w:rPr>
        <w:br/>
      </w:r>
      <w:proofErr w:type="gramStart"/>
      <w:r w:rsidRPr="00F225AE">
        <w:rPr>
          <w:rFonts w:eastAsiaTheme="minorHAnsi"/>
          <w:color w:val="auto"/>
          <w:lang w:eastAsia="en-US"/>
        </w:rPr>
        <w:t>Alternatively</w:t>
      </w:r>
      <w:proofErr w:type="gramEnd"/>
      <w:r w:rsidRPr="00F225AE">
        <w:rPr>
          <w:rFonts w:eastAsiaTheme="minorHAnsi"/>
          <w:color w:val="auto"/>
          <w:lang w:eastAsia="en-US"/>
        </w:rPr>
        <w:t xml:space="preserve"> you may wish to shorten the warm-up period and use the device before the output is stable. This has the benefit of a lower surface temperature of the unit and a faster </w:t>
      </w:r>
      <w:proofErr w:type="spellStart"/>
      <w:r w:rsidRPr="00F225AE">
        <w:rPr>
          <w:rFonts w:eastAsiaTheme="minorHAnsi"/>
          <w:color w:val="auto"/>
          <w:lang w:eastAsia="en-US"/>
        </w:rPr>
        <w:t>turn around</w:t>
      </w:r>
      <w:proofErr w:type="spellEnd"/>
      <w:r w:rsidRPr="00F225AE">
        <w:rPr>
          <w:rFonts w:eastAsiaTheme="minorHAnsi"/>
          <w:color w:val="auto"/>
          <w:lang w:eastAsia="en-US"/>
        </w:rPr>
        <w:t xml:space="preserve"> time for the user. </w:t>
      </w:r>
      <w:proofErr w:type="gramStart"/>
      <w:r w:rsidRPr="00F225AE">
        <w:rPr>
          <w:rFonts w:eastAsiaTheme="minorHAnsi"/>
          <w:color w:val="auto"/>
          <w:lang w:eastAsia="en-US"/>
        </w:rPr>
        <w:t>However</w:t>
      </w:r>
      <w:proofErr w:type="gramEnd"/>
      <w:r w:rsidRPr="00F225AE">
        <w:rPr>
          <w:rFonts w:eastAsiaTheme="minorHAnsi"/>
          <w:color w:val="auto"/>
          <w:lang w:eastAsia="en-US"/>
        </w:rPr>
        <w:t xml:space="preserve"> the disadvantages are that timing of placing the unit on the skin is critical when used clinically and you must satisfy yourself that the dose delivered to the skin is repeatable.</w:t>
      </w:r>
    </w:p>
    <w:p w14:paraId="30C7D11B" w14:textId="77777777" w:rsidR="00F225AE" w:rsidRPr="00F225AE" w:rsidRDefault="00F225AE" w:rsidP="00795127">
      <w:pPr>
        <w:ind w:left="426" w:hanging="283"/>
        <w:rPr>
          <w:rFonts w:eastAsiaTheme="minorHAnsi"/>
          <w:color w:val="auto"/>
          <w:lang w:eastAsia="en-US"/>
        </w:rPr>
      </w:pPr>
    </w:p>
    <w:p w14:paraId="7CADBF2A" w14:textId="77777777" w:rsidR="00F225AE" w:rsidRPr="00F225AE" w:rsidRDefault="00F225AE" w:rsidP="00795127">
      <w:pPr>
        <w:numPr>
          <w:ilvl w:val="0"/>
          <w:numId w:val="11"/>
        </w:numPr>
        <w:ind w:left="426" w:hanging="283"/>
        <w:rPr>
          <w:rFonts w:eastAsiaTheme="minorHAnsi"/>
          <w:color w:val="auto"/>
          <w:lang w:eastAsia="en-US"/>
        </w:rPr>
      </w:pPr>
      <w:r w:rsidRPr="00F225AE">
        <w:rPr>
          <w:rFonts w:eastAsiaTheme="minorHAnsi"/>
          <w:b/>
          <w:color w:val="auto"/>
          <w:lang w:eastAsia="en-US"/>
        </w:rPr>
        <w:t>Exposure period</w:t>
      </w:r>
      <w:r w:rsidRPr="00F225AE">
        <w:rPr>
          <w:rFonts w:eastAsiaTheme="minorHAnsi"/>
          <w:b/>
          <w:color w:val="auto"/>
          <w:lang w:eastAsia="en-US"/>
        </w:rPr>
        <w:br/>
      </w:r>
      <w:r w:rsidRPr="00F225AE">
        <w:rPr>
          <w:rFonts w:eastAsiaTheme="minorHAnsi"/>
          <w:color w:val="auto"/>
          <w:lang w:eastAsia="en-US"/>
        </w:rPr>
        <w:t>If the warm-up period has been chosen such that the lamp’s output is stable then the exposure period can be determined by measuring the irradiance (mWcm</w:t>
      </w:r>
      <w:r w:rsidRPr="00F225AE">
        <w:rPr>
          <w:rFonts w:eastAsiaTheme="minorHAnsi"/>
          <w:color w:val="auto"/>
          <w:vertAlign w:val="superscript"/>
          <w:lang w:eastAsia="en-US"/>
        </w:rPr>
        <w:t>-2</w:t>
      </w:r>
      <w:r w:rsidRPr="00F225AE">
        <w:rPr>
          <w:rFonts w:eastAsiaTheme="minorHAnsi"/>
          <w:color w:val="auto"/>
          <w:lang w:eastAsia="en-US"/>
        </w:rPr>
        <w:t>) of the highest output aperture after the warm-up period. The exposure time is then equal to the prescribed dose divided by the irradiance. Ensure that the input optics of the measurement device are in the same position that the skin would be and that they are being overfilled by the light from the MED tester.</w:t>
      </w:r>
    </w:p>
    <w:p w14:paraId="308B9D9A" w14:textId="77777777" w:rsidR="00F225AE" w:rsidRPr="00F225AE" w:rsidRDefault="00F225AE" w:rsidP="00795127">
      <w:pPr>
        <w:ind w:left="426" w:hanging="283"/>
        <w:rPr>
          <w:rFonts w:eastAsiaTheme="minorHAnsi"/>
          <w:color w:val="auto"/>
          <w:lang w:eastAsia="en-US"/>
        </w:rPr>
      </w:pPr>
      <w:r w:rsidRPr="00F225AE">
        <w:rPr>
          <w:rFonts w:eastAsiaTheme="minorHAnsi"/>
          <w:color w:val="auto"/>
          <w:lang w:eastAsia="en-US"/>
        </w:rPr>
        <w:br/>
        <w:t>If the warm-up period has been chosen such that the lamp’s output is not stable, then the exposure period should be determined by measuring the radiant exposure (mJcm</w:t>
      </w:r>
      <w:r w:rsidRPr="00F225AE">
        <w:rPr>
          <w:rFonts w:eastAsiaTheme="minorHAnsi"/>
          <w:color w:val="auto"/>
          <w:vertAlign w:val="superscript"/>
          <w:lang w:eastAsia="en-US"/>
        </w:rPr>
        <w:t>-2</w:t>
      </w:r>
      <w:r w:rsidRPr="00F225AE">
        <w:rPr>
          <w:rFonts w:eastAsiaTheme="minorHAnsi"/>
          <w:color w:val="auto"/>
          <w:lang w:eastAsia="en-US"/>
        </w:rPr>
        <w:t xml:space="preserve">) of the highest output aperture. Most UV meters will have a function that allows measurement of the radiant exposure. Once again ensure the input optics of the measurement device are in the same position that the skin would be and that they are being overfilled by the light from the MED tester. Position the detector over the highest output aperture, immediately upon reaching the end of the warm-up period, begin the measurement of radiant exposure on the UV meter and start a timer. When the radiant exposure reaches the prescribed dose, stop the timer. The timer result is the exposure time required to deliver the desired dose / radiant exposure. </w:t>
      </w:r>
    </w:p>
    <w:p w14:paraId="7729F3C9" w14:textId="5959E5EB" w:rsidR="00DC27E2" w:rsidRDefault="00DC27E2">
      <w:pPr>
        <w:spacing w:after="200" w:line="276" w:lineRule="auto"/>
        <w:rPr>
          <w:rFonts w:eastAsiaTheme="minorHAnsi"/>
          <w:color w:val="auto"/>
          <w:lang w:eastAsia="en-US"/>
        </w:rPr>
      </w:pPr>
      <w:r>
        <w:rPr>
          <w:rFonts w:eastAsiaTheme="minorHAnsi"/>
          <w:color w:val="auto"/>
          <w:lang w:eastAsia="en-US"/>
        </w:rPr>
        <w:br w:type="page"/>
      </w:r>
    </w:p>
    <w:p w14:paraId="1F7A53DE" w14:textId="77777777" w:rsidR="00F225AE" w:rsidRPr="00F225AE" w:rsidRDefault="00F225AE" w:rsidP="001562F1">
      <w:pPr>
        <w:numPr>
          <w:ilvl w:val="0"/>
          <w:numId w:val="11"/>
        </w:numPr>
        <w:ind w:left="709" w:hanging="283"/>
        <w:rPr>
          <w:rFonts w:eastAsiaTheme="minorHAnsi"/>
          <w:color w:val="auto"/>
          <w:lang w:eastAsia="en-US"/>
        </w:rPr>
      </w:pPr>
      <w:r w:rsidRPr="00F225AE">
        <w:rPr>
          <w:rFonts w:eastAsiaTheme="minorHAnsi"/>
          <w:b/>
          <w:color w:val="auto"/>
          <w:lang w:eastAsia="en-US"/>
        </w:rPr>
        <w:lastRenderedPageBreak/>
        <w:t>Cool-down period</w:t>
      </w:r>
      <w:r w:rsidRPr="00F225AE">
        <w:rPr>
          <w:rFonts w:eastAsiaTheme="minorHAnsi"/>
          <w:b/>
          <w:color w:val="auto"/>
          <w:lang w:eastAsia="en-US"/>
        </w:rPr>
        <w:br/>
      </w:r>
      <w:r w:rsidRPr="00F225AE">
        <w:rPr>
          <w:rFonts w:eastAsiaTheme="minorHAnsi"/>
          <w:color w:val="auto"/>
          <w:lang w:eastAsia="en-US"/>
        </w:rPr>
        <w:t xml:space="preserve">The cool down period should be selected at a length of time such that, following cool down, the unit can be switched on again and, following warm-up, the exposure period measurement </w:t>
      </w:r>
      <w:proofErr w:type="gramStart"/>
      <w:r w:rsidRPr="00F225AE">
        <w:rPr>
          <w:rFonts w:eastAsiaTheme="minorHAnsi"/>
          <w:color w:val="auto"/>
          <w:lang w:eastAsia="en-US"/>
        </w:rPr>
        <w:t>repeated</w:t>
      </w:r>
      <w:proofErr w:type="gramEnd"/>
      <w:r w:rsidRPr="00F225AE">
        <w:rPr>
          <w:rFonts w:eastAsiaTheme="minorHAnsi"/>
          <w:color w:val="auto"/>
          <w:lang w:eastAsia="en-US"/>
        </w:rPr>
        <w:t xml:space="preserve"> and the same result achieved. Determination of the cool down period will require trial and error. Start with a </w:t>
      </w:r>
      <w:proofErr w:type="gramStart"/>
      <w:r w:rsidRPr="00F225AE">
        <w:rPr>
          <w:rFonts w:eastAsiaTheme="minorHAnsi"/>
          <w:color w:val="auto"/>
          <w:lang w:eastAsia="en-US"/>
        </w:rPr>
        <w:t>10 minute</w:t>
      </w:r>
      <w:proofErr w:type="gramEnd"/>
      <w:r w:rsidRPr="00F225AE">
        <w:rPr>
          <w:rFonts w:eastAsiaTheme="minorHAnsi"/>
          <w:color w:val="auto"/>
          <w:lang w:eastAsia="en-US"/>
        </w:rPr>
        <w:t xml:space="preserve"> cool down period, if the exposure period result is not the same as the first run then increase the cool down period and repeat. If the exposure period result is the same as the first </w:t>
      </w:r>
      <w:proofErr w:type="gramStart"/>
      <w:r w:rsidRPr="00F225AE">
        <w:rPr>
          <w:rFonts w:eastAsiaTheme="minorHAnsi"/>
          <w:color w:val="auto"/>
          <w:lang w:eastAsia="en-US"/>
        </w:rPr>
        <w:t>run</w:t>
      </w:r>
      <w:proofErr w:type="gramEnd"/>
      <w:r w:rsidRPr="00F225AE">
        <w:rPr>
          <w:rFonts w:eastAsiaTheme="minorHAnsi"/>
          <w:color w:val="auto"/>
          <w:lang w:eastAsia="en-US"/>
        </w:rPr>
        <w:t xml:space="preserve"> then decrease the cool down period and repeat. Continue until you have reached the shortest cool down period acceptable.</w:t>
      </w:r>
    </w:p>
    <w:p w14:paraId="32F02A37" w14:textId="77777777" w:rsidR="00F225AE" w:rsidRPr="00F225AE" w:rsidRDefault="00F225AE" w:rsidP="00F225AE">
      <w:pPr>
        <w:rPr>
          <w:rFonts w:eastAsiaTheme="minorHAnsi"/>
          <w:color w:val="auto"/>
          <w:lang w:eastAsia="en-US"/>
        </w:rPr>
      </w:pPr>
    </w:p>
    <w:p w14:paraId="42904D28" w14:textId="77777777" w:rsidR="00F225AE" w:rsidRPr="00F225AE" w:rsidRDefault="00F225AE" w:rsidP="00F225AE">
      <w:pPr>
        <w:rPr>
          <w:rFonts w:eastAsiaTheme="minorHAnsi"/>
          <w:color w:val="auto"/>
          <w:lang w:eastAsia="en-US"/>
        </w:rPr>
      </w:pPr>
      <w:r w:rsidRPr="00F225AE">
        <w:rPr>
          <w:rFonts w:eastAsiaTheme="minorHAnsi"/>
          <w:color w:val="auto"/>
          <w:lang w:eastAsia="en-US"/>
        </w:rPr>
        <w:t>Once the warm-up, exposure and cool-down periods have been determined cyclical testing should be performed to ensure consistency each time the unit is switched on.</w:t>
      </w:r>
    </w:p>
    <w:p w14:paraId="34ECD4D1" w14:textId="00774F1E" w:rsidR="00F225AE" w:rsidRPr="00F225AE" w:rsidRDefault="00F225AE" w:rsidP="00F225AE">
      <w:pPr>
        <w:rPr>
          <w:rFonts w:eastAsiaTheme="minorHAnsi"/>
          <w:color w:val="auto"/>
          <w:lang w:eastAsia="en-US"/>
        </w:rPr>
      </w:pPr>
    </w:p>
    <w:p w14:paraId="7CAD353B" w14:textId="77777777" w:rsidR="00F225AE" w:rsidRPr="00F225AE" w:rsidRDefault="00F225AE" w:rsidP="00795127">
      <w:pPr>
        <w:pStyle w:val="Quote"/>
      </w:pPr>
      <w:r w:rsidRPr="00F225AE">
        <w:t xml:space="preserve">Determine the percentages of the apertures on the handheld MED tester. </w:t>
      </w:r>
    </w:p>
    <w:p w14:paraId="1BE01A70" w14:textId="77777777" w:rsidR="00F225AE" w:rsidRPr="00F225AE" w:rsidRDefault="00F225AE" w:rsidP="00F225AE">
      <w:pPr>
        <w:rPr>
          <w:rFonts w:eastAsiaTheme="minorHAnsi"/>
          <w:color w:val="auto"/>
          <w:lang w:eastAsia="en-US"/>
        </w:rPr>
      </w:pPr>
    </w:p>
    <w:p w14:paraId="7F62F3DB" w14:textId="77777777" w:rsidR="00F225AE" w:rsidRPr="00F225AE" w:rsidRDefault="00F225AE" w:rsidP="00F225AE">
      <w:pPr>
        <w:rPr>
          <w:rFonts w:eastAsiaTheme="minorHAnsi"/>
          <w:color w:val="auto"/>
          <w:lang w:eastAsia="en-US"/>
        </w:rPr>
      </w:pPr>
      <w:r w:rsidRPr="00F225AE">
        <w:rPr>
          <w:rFonts w:eastAsiaTheme="minorHAnsi"/>
          <w:color w:val="auto"/>
          <w:lang w:eastAsia="en-US"/>
        </w:rPr>
        <w:t xml:space="preserve">It is most likely that the aperture percentages will need to be determined individually. </w:t>
      </w:r>
    </w:p>
    <w:p w14:paraId="1232091B" w14:textId="77777777" w:rsidR="00F225AE" w:rsidRPr="00F225AE" w:rsidRDefault="00F225AE" w:rsidP="001562F1">
      <w:pPr>
        <w:numPr>
          <w:ilvl w:val="0"/>
          <w:numId w:val="12"/>
        </w:numPr>
        <w:rPr>
          <w:rFonts w:eastAsiaTheme="minorHAnsi"/>
          <w:color w:val="auto"/>
          <w:lang w:eastAsia="en-US"/>
        </w:rPr>
      </w:pPr>
      <w:r w:rsidRPr="00F225AE">
        <w:rPr>
          <w:rFonts w:eastAsiaTheme="minorHAnsi"/>
          <w:color w:val="auto"/>
          <w:lang w:eastAsia="en-US"/>
        </w:rPr>
        <w:t>If you have chosen a warm-up period such that the output of the lamp is stable, it may be possible to take irradiance measurements from each aperture consecutively, without switching the unit off and being mindful that the lamp will have drifted slightly between the first and last aperture. It may be useful to repeat the test moving the detector in the opposite direction and then take an average of the results.</w:t>
      </w:r>
    </w:p>
    <w:p w14:paraId="2493FDB1" w14:textId="77777777" w:rsidR="00F225AE" w:rsidRPr="00F225AE" w:rsidRDefault="00F225AE" w:rsidP="00F225AE">
      <w:pPr>
        <w:ind w:left="1080"/>
        <w:rPr>
          <w:rFonts w:eastAsiaTheme="minorHAnsi"/>
          <w:color w:val="auto"/>
          <w:lang w:eastAsia="en-US"/>
        </w:rPr>
      </w:pPr>
    </w:p>
    <w:p w14:paraId="5C784192" w14:textId="77777777" w:rsidR="00F225AE" w:rsidRPr="00F225AE" w:rsidRDefault="00F225AE" w:rsidP="001562F1">
      <w:pPr>
        <w:numPr>
          <w:ilvl w:val="0"/>
          <w:numId w:val="12"/>
        </w:numPr>
        <w:rPr>
          <w:rFonts w:eastAsiaTheme="minorHAnsi"/>
          <w:color w:val="auto"/>
          <w:lang w:eastAsia="en-US"/>
        </w:rPr>
      </w:pPr>
      <w:r w:rsidRPr="00F225AE">
        <w:rPr>
          <w:rFonts w:eastAsiaTheme="minorHAnsi"/>
          <w:color w:val="auto"/>
          <w:lang w:eastAsia="en-US"/>
        </w:rPr>
        <w:t>If you have chosen a warm-up period such that the output of the lamp is not stable, then only one aperture can be measured per warm-up, exposure, cool-down period. Measure the radiant exposure of each aperture with a fixed exposure period as determined in 3.</w:t>
      </w:r>
    </w:p>
    <w:p w14:paraId="0C7868D1" w14:textId="77777777" w:rsidR="00F225AE" w:rsidRPr="00F225AE" w:rsidRDefault="00F225AE" w:rsidP="00F225AE">
      <w:pPr>
        <w:rPr>
          <w:rFonts w:eastAsiaTheme="minorHAnsi"/>
          <w:color w:val="auto"/>
          <w:lang w:eastAsia="en-US"/>
        </w:rPr>
      </w:pPr>
    </w:p>
    <w:p w14:paraId="0259C730" w14:textId="77777777" w:rsidR="00F225AE" w:rsidRPr="00F225AE" w:rsidRDefault="00F225AE" w:rsidP="00F225AE">
      <w:pPr>
        <w:rPr>
          <w:rFonts w:eastAsiaTheme="minorHAnsi"/>
          <w:color w:val="auto"/>
          <w:lang w:eastAsia="en-US"/>
        </w:rPr>
      </w:pPr>
      <w:r w:rsidRPr="00F225AE">
        <w:rPr>
          <w:rFonts w:eastAsiaTheme="minorHAnsi"/>
          <w:color w:val="auto"/>
          <w:lang w:eastAsia="en-US"/>
        </w:rPr>
        <w:t>Various researchers are attempting to determine the aperture percentages simultaneously, the most common method being the use of UV sensitive film. However, to date, there is no published literature on such a technique.</w:t>
      </w:r>
    </w:p>
    <w:p w14:paraId="493B24D3" w14:textId="77777777" w:rsidR="00F225AE" w:rsidRPr="00F225AE" w:rsidRDefault="00F225AE" w:rsidP="00F225AE">
      <w:pPr>
        <w:rPr>
          <w:rFonts w:eastAsiaTheme="minorHAnsi"/>
          <w:color w:val="auto"/>
          <w:lang w:eastAsia="en-US"/>
        </w:rPr>
      </w:pPr>
    </w:p>
    <w:p w14:paraId="7D0088D2" w14:textId="77777777" w:rsidR="00F225AE" w:rsidRPr="00F225AE" w:rsidRDefault="00F225AE" w:rsidP="00795127">
      <w:pPr>
        <w:pStyle w:val="Quote"/>
      </w:pPr>
      <w:r w:rsidRPr="00F225AE">
        <w:t>Check the surface temperature of the MED tester during the exposure period.</w:t>
      </w:r>
    </w:p>
    <w:p w14:paraId="188DCCCA" w14:textId="77777777" w:rsidR="00F225AE" w:rsidRPr="00F225AE" w:rsidRDefault="00F225AE" w:rsidP="00F225AE">
      <w:pPr>
        <w:rPr>
          <w:rFonts w:eastAsiaTheme="minorHAnsi"/>
          <w:color w:val="auto"/>
          <w:lang w:eastAsia="en-US"/>
        </w:rPr>
      </w:pPr>
    </w:p>
    <w:p w14:paraId="12F61576" w14:textId="77777777" w:rsidR="00F225AE" w:rsidRPr="00F225AE" w:rsidRDefault="00F225AE" w:rsidP="00F225AE">
      <w:pPr>
        <w:rPr>
          <w:rFonts w:eastAsiaTheme="minorHAnsi"/>
          <w:color w:val="auto"/>
          <w:lang w:eastAsia="en-US"/>
        </w:rPr>
      </w:pPr>
      <w:r w:rsidRPr="00F225AE">
        <w:rPr>
          <w:rFonts w:eastAsiaTheme="minorHAnsi"/>
          <w:color w:val="auto"/>
          <w:lang w:eastAsia="en-US"/>
        </w:rPr>
        <w:t xml:space="preserve">The surface temperature of the handheld MED testers has been reported to reach high temperatures (up to 70 degrees </w:t>
      </w:r>
      <w:proofErr w:type="spellStart"/>
      <w:r w:rsidRPr="00F225AE">
        <w:rPr>
          <w:rFonts w:eastAsiaTheme="minorHAnsi"/>
          <w:color w:val="auto"/>
          <w:lang w:eastAsia="en-US"/>
        </w:rPr>
        <w:t>Celcius</w:t>
      </w:r>
      <w:proofErr w:type="spellEnd"/>
      <w:r w:rsidRPr="00F225AE">
        <w:rPr>
          <w:rFonts w:eastAsiaTheme="minorHAnsi"/>
          <w:color w:val="auto"/>
          <w:lang w:eastAsia="en-US"/>
        </w:rPr>
        <w:t>). It is therefore important to measure this surface temperature for the warm-up and exposure period determined previously. Various temperature recording methods can be used including the use of thermocouples or thermal cameras. This test can be performed at the same time as earlier tests and may assist with your decision of the warm-up period.</w:t>
      </w:r>
    </w:p>
    <w:p w14:paraId="05A20C90" w14:textId="77777777" w:rsidR="00F225AE" w:rsidRPr="00F225AE" w:rsidRDefault="00F225AE" w:rsidP="00F225AE">
      <w:pPr>
        <w:rPr>
          <w:rFonts w:eastAsiaTheme="minorHAnsi"/>
          <w:color w:val="auto"/>
          <w:lang w:eastAsia="en-US"/>
        </w:rPr>
      </w:pPr>
      <w:r w:rsidRPr="00F225AE">
        <w:rPr>
          <w:rFonts w:eastAsiaTheme="minorHAnsi"/>
          <w:color w:val="auto"/>
          <w:lang w:eastAsia="en-US"/>
        </w:rPr>
        <w:br w:type="page"/>
      </w:r>
    </w:p>
    <w:p w14:paraId="10FE0586" w14:textId="77777777" w:rsidR="00F225AE" w:rsidRPr="00F225AE" w:rsidRDefault="00F225AE" w:rsidP="001562F1">
      <w:pPr>
        <w:pStyle w:val="Heading1"/>
      </w:pPr>
      <w:bookmarkStart w:id="13" w:name="_Toc134530368"/>
      <w:proofErr w:type="spellStart"/>
      <w:r w:rsidRPr="00F225AE">
        <w:lastRenderedPageBreak/>
        <w:t>Dosimetery</w:t>
      </w:r>
      <w:proofErr w:type="spellEnd"/>
      <w:r w:rsidRPr="00F225AE">
        <w:t xml:space="preserve"> Protocol No. 4: Hand and Foot</w:t>
      </w:r>
      <w:bookmarkEnd w:id="13"/>
      <w:r w:rsidRPr="00F225AE">
        <w:t xml:space="preserve"> </w:t>
      </w:r>
    </w:p>
    <w:p w14:paraId="7C269541" w14:textId="77777777" w:rsidR="00F225AE" w:rsidRPr="00F225AE" w:rsidRDefault="00F225AE" w:rsidP="00F225AE">
      <w:pPr>
        <w:ind w:left="360"/>
        <w:contextualSpacing/>
        <w:rPr>
          <w:b/>
          <w:color w:val="auto"/>
        </w:rPr>
      </w:pPr>
    </w:p>
    <w:p w14:paraId="6F38EBED" w14:textId="77777777" w:rsidR="00F225AE" w:rsidRPr="00F225AE" w:rsidRDefault="00F225AE" w:rsidP="00F225AE">
      <w:pPr>
        <w:rPr>
          <w:rFonts w:eastAsiaTheme="minorHAnsi"/>
          <w:color w:val="auto"/>
          <w:lang w:eastAsia="en-US"/>
        </w:rPr>
      </w:pPr>
      <w:r w:rsidRPr="00F225AE">
        <w:rPr>
          <w:rFonts w:eastAsiaTheme="minorHAnsi"/>
          <w:color w:val="auto"/>
          <w:lang w:eastAsia="en-US"/>
        </w:rPr>
        <w:t xml:space="preserve">The use of jigs and templates needs to be justified with evidence that the reported values are equivalent to the Designated Patient Irradiance (DPI). The DPI for a hand and foot unit is defined as: the mean irradiance incident on a patient’s hands/feet from the active unit(s).   </w:t>
      </w:r>
    </w:p>
    <w:p w14:paraId="75BFD31D" w14:textId="77777777" w:rsidR="00F225AE" w:rsidRPr="00F225AE" w:rsidRDefault="00F225AE" w:rsidP="00F225AE">
      <w:pPr>
        <w:rPr>
          <w:rFonts w:eastAsiaTheme="minorHAnsi"/>
          <w:color w:val="auto"/>
          <w:lang w:eastAsia="en-US"/>
        </w:rPr>
      </w:pPr>
    </w:p>
    <w:p w14:paraId="5B12EEA7" w14:textId="77777777" w:rsidR="00F225AE" w:rsidRPr="00835CE2" w:rsidRDefault="00F225AE" w:rsidP="00835CE2">
      <w:pPr>
        <w:pStyle w:val="IntenseQuote"/>
      </w:pPr>
      <w:r w:rsidRPr="00835CE2">
        <w:t>Units to be measured</w:t>
      </w:r>
    </w:p>
    <w:p w14:paraId="005A64E6" w14:textId="77777777" w:rsidR="00F225AE" w:rsidRPr="00F225AE" w:rsidRDefault="00F225AE" w:rsidP="00F225AE">
      <w:pPr>
        <w:ind w:left="720"/>
        <w:rPr>
          <w:color w:val="auto"/>
        </w:rPr>
      </w:pPr>
      <w:r w:rsidRPr="00F225AE">
        <w:rPr>
          <w:color w:val="auto"/>
        </w:rPr>
        <w:t xml:space="preserve">The investigator should make measurements of hand and foot units based on the configurations of units as used to treat patients, </w:t>
      </w:r>
      <w:proofErr w:type="gramStart"/>
      <w:r w:rsidRPr="00F225AE">
        <w:rPr>
          <w:color w:val="auto"/>
        </w:rPr>
        <w:t>i.e.</w:t>
      </w:r>
      <w:proofErr w:type="gramEnd"/>
      <w:r w:rsidRPr="00F225AE">
        <w:rPr>
          <w:color w:val="auto"/>
        </w:rPr>
        <w:t xml:space="preserve"> if both dorsal and palmer units are switched on for treatment purposes, both should be switched on for irradiance measurements. If centres treat with both dorsal and palmer units switched on </w:t>
      </w:r>
      <w:proofErr w:type="gramStart"/>
      <w:r w:rsidRPr="00F225AE">
        <w:rPr>
          <w:color w:val="auto"/>
        </w:rPr>
        <w:t>and also</w:t>
      </w:r>
      <w:proofErr w:type="gramEnd"/>
      <w:r w:rsidRPr="00F225AE">
        <w:rPr>
          <w:color w:val="auto"/>
        </w:rPr>
        <w:t xml:space="preserve"> with each unit individually, it may be appropriate to measure the output of all configurations.</w:t>
      </w:r>
    </w:p>
    <w:p w14:paraId="26DD7212" w14:textId="77777777" w:rsidR="00F225AE" w:rsidRPr="00F225AE" w:rsidRDefault="00F225AE" w:rsidP="00F225AE">
      <w:pPr>
        <w:ind w:left="720"/>
        <w:rPr>
          <w:color w:val="auto"/>
        </w:rPr>
      </w:pPr>
    </w:p>
    <w:p w14:paraId="186DDDF5" w14:textId="77777777" w:rsidR="00F225AE" w:rsidRPr="00F225AE" w:rsidRDefault="00F225AE" w:rsidP="00835CE2">
      <w:pPr>
        <w:pStyle w:val="IntenseQuote"/>
      </w:pPr>
      <w:r w:rsidRPr="00F225AE">
        <w:t>Use of a Template</w:t>
      </w:r>
    </w:p>
    <w:p w14:paraId="49E8B175" w14:textId="77777777" w:rsidR="00F225AE" w:rsidRPr="00F225AE" w:rsidRDefault="00F225AE" w:rsidP="00F225AE">
      <w:pPr>
        <w:ind w:left="720"/>
        <w:rPr>
          <w:color w:val="auto"/>
        </w:rPr>
      </w:pPr>
      <w:r w:rsidRPr="00F225AE">
        <w:rPr>
          <w:color w:val="auto"/>
        </w:rPr>
        <w:t>It is desirable for the investigator to use a template of some variety and note its position on the hand and foot unit when making measurements. This will allow for better repeatability of measurements. An example template is shown below.</w:t>
      </w:r>
    </w:p>
    <w:p w14:paraId="7EECAAD8" w14:textId="77777777" w:rsidR="00F225AE" w:rsidRPr="00F225AE" w:rsidRDefault="00F225AE" w:rsidP="00F225AE">
      <w:pPr>
        <w:ind w:left="720"/>
        <w:rPr>
          <w:color w:val="auto"/>
        </w:rPr>
      </w:pPr>
    </w:p>
    <w:p w14:paraId="58631C66" w14:textId="77777777" w:rsidR="00F225AE" w:rsidRPr="00F225AE" w:rsidRDefault="00F225AE" w:rsidP="00F225AE">
      <w:pPr>
        <w:ind w:left="720"/>
        <w:jc w:val="center"/>
        <w:rPr>
          <w:color w:val="auto"/>
        </w:rPr>
      </w:pPr>
      <w:r w:rsidRPr="00F225AE">
        <w:rPr>
          <w:noProof/>
          <w:color w:val="auto"/>
        </w:rPr>
        <w:drawing>
          <wp:inline distT="0" distB="0" distL="0" distR="0" wp14:anchorId="61A86A7C" wp14:editId="1B03E869">
            <wp:extent cx="2457450" cy="2253685"/>
            <wp:effectExtent l="19050" t="0" r="0" b="0"/>
            <wp:docPr id="5" name="Picture 5" descr="Dosimetery Protocol No. 4: Hand and Foot measurement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osimetery Protocol No. 4: Hand and Foot measurements template"/>
                    <pic:cNvPicPr>
                      <a:picLocks noChangeAspect="1" noChangeArrowheads="1"/>
                    </pic:cNvPicPr>
                  </pic:nvPicPr>
                  <pic:blipFill>
                    <a:blip r:embed="rId15" cstate="print"/>
                    <a:srcRect/>
                    <a:stretch>
                      <a:fillRect/>
                    </a:stretch>
                  </pic:blipFill>
                  <pic:spPr bwMode="auto">
                    <a:xfrm>
                      <a:off x="0" y="0"/>
                      <a:ext cx="2457450" cy="2253685"/>
                    </a:xfrm>
                    <a:prstGeom prst="rect">
                      <a:avLst/>
                    </a:prstGeom>
                    <a:noFill/>
                    <a:ln w="9525">
                      <a:noFill/>
                      <a:miter lim="800000"/>
                      <a:headEnd/>
                      <a:tailEnd/>
                    </a:ln>
                  </pic:spPr>
                </pic:pic>
              </a:graphicData>
            </a:graphic>
          </wp:inline>
        </w:drawing>
      </w:r>
    </w:p>
    <w:p w14:paraId="6D455FAD" w14:textId="77777777" w:rsidR="00F225AE" w:rsidRPr="00F225AE" w:rsidRDefault="00F225AE" w:rsidP="00F225AE">
      <w:pPr>
        <w:ind w:left="720"/>
        <w:contextualSpacing/>
        <w:rPr>
          <w:color w:val="auto"/>
        </w:rPr>
      </w:pPr>
    </w:p>
    <w:p w14:paraId="19745BE6" w14:textId="77777777" w:rsidR="00F225AE" w:rsidRPr="00F225AE" w:rsidRDefault="00F225AE" w:rsidP="00F225AE">
      <w:pPr>
        <w:ind w:left="720"/>
        <w:contextualSpacing/>
        <w:rPr>
          <w:color w:val="auto"/>
        </w:rPr>
      </w:pPr>
      <w:r w:rsidRPr="00F225AE">
        <w:rPr>
          <w:color w:val="auto"/>
        </w:rPr>
        <w:t>The template above allows for nine measurements to be made across the surface of the hand and foot unit. Note the template includes blacked-out sections to simulate the presence of the patient’s hands when taking measurements.</w:t>
      </w:r>
    </w:p>
    <w:p w14:paraId="1FF63756" w14:textId="77777777" w:rsidR="00F225AE" w:rsidRPr="00F225AE" w:rsidRDefault="00F225AE" w:rsidP="00F225AE">
      <w:pPr>
        <w:ind w:left="720"/>
        <w:contextualSpacing/>
        <w:rPr>
          <w:color w:val="auto"/>
        </w:rPr>
      </w:pPr>
    </w:p>
    <w:p w14:paraId="43B59B3C" w14:textId="77777777" w:rsidR="00F225AE" w:rsidRPr="00F225AE" w:rsidRDefault="00F225AE" w:rsidP="00F225AE">
      <w:pPr>
        <w:ind w:left="720"/>
        <w:rPr>
          <w:rFonts w:eastAsiaTheme="minorHAnsi"/>
          <w:color w:val="auto"/>
          <w:lang w:eastAsia="en-US"/>
        </w:rPr>
      </w:pPr>
      <w:r w:rsidRPr="00F225AE">
        <w:rPr>
          <w:rFonts w:eastAsiaTheme="minorHAnsi"/>
          <w:color w:val="auto"/>
          <w:lang w:eastAsia="en-US"/>
        </w:rPr>
        <w:t>Measurements can be made with or without a template or jig, provided they can be related to the DPI as defined above. If the method used introduces a discrepancy &lt;5% this is acceptable without correction to the DPI, provided this is documented.</w:t>
      </w:r>
    </w:p>
    <w:p w14:paraId="29112118" w14:textId="70D9853C" w:rsidR="00835CE2" w:rsidRDefault="00835CE2">
      <w:pPr>
        <w:spacing w:after="200" w:line="276" w:lineRule="auto"/>
        <w:rPr>
          <w:rFonts w:eastAsiaTheme="minorHAnsi"/>
          <w:color w:val="auto"/>
          <w:lang w:eastAsia="en-US"/>
        </w:rPr>
      </w:pPr>
      <w:r>
        <w:rPr>
          <w:rFonts w:eastAsiaTheme="minorHAnsi"/>
          <w:color w:val="auto"/>
          <w:lang w:eastAsia="en-US"/>
        </w:rPr>
        <w:br w:type="page"/>
      </w:r>
    </w:p>
    <w:p w14:paraId="112F5676" w14:textId="77777777" w:rsidR="00F225AE" w:rsidRPr="00F225AE" w:rsidRDefault="00F225AE" w:rsidP="00835CE2">
      <w:pPr>
        <w:pStyle w:val="IntenseQuote"/>
      </w:pPr>
      <w:r w:rsidRPr="00F225AE">
        <w:lastRenderedPageBreak/>
        <w:t>Taking measurements</w:t>
      </w:r>
    </w:p>
    <w:p w14:paraId="60149DF2" w14:textId="77777777" w:rsidR="00F225AE" w:rsidRPr="00F225AE" w:rsidRDefault="00F225AE" w:rsidP="00F225AE">
      <w:pPr>
        <w:ind w:left="720"/>
        <w:contextualSpacing/>
        <w:jc w:val="both"/>
        <w:rPr>
          <w:color w:val="auto"/>
        </w:rPr>
      </w:pPr>
    </w:p>
    <w:p w14:paraId="11FC25C8" w14:textId="77777777" w:rsidR="00F225AE" w:rsidRPr="00F225AE" w:rsidRDefault="00F225AE" w:rsidP="001562F1">
      <w:pPr>
        <w:numPr>
          <w:ilvl w:val="0"/>
          <w:numId w:val="14"/>
        </w:numPr>
        <w:contextualSpacing/>
        <w:jc w:val="both"/>
        <w:rPr>
          <w:color w:val="auto"/>
        </w:rPr>
      </w:pPr>
      <w:r w:rsidRPr="00F225AE">
        <w:rPr>
          <w:color w:val="auto"/>
        </w:rPr>
        <w:t>Palmer unit</w:t>
      </w:r>
    </w:p>
    <w:p w14:paraId="11422D78" w14:textId="77777777" w:rsidR="00F225AE" w:rsidRPr="00F225AE" w:rsidRDefault="00F225AE" w:rsidP="001562F1">
      <w:pPr>
        <w:numPr>
          <w:ilvl w:val="0"/>
          <w:numId w:val="17"/>
        </w:numPr>
        <w:contextualSpacing/>
        <w:jc w:val="both"/>
        <w:rPr>
          <w:color w:val="auto"/>
        </w:rPr>
      </w:pPr>
      <w:r w:rsidRPr="00F225AE">
        <w:rPr>
          <w:color w:val="auto"/>
        </w:rPr>
        <w:t>Place the template on the surface of the palmer unit.</w:t>
      </w:r>
    </w:p>
    <w:p w14:paraId="32D716D5" w14:textId="77777777" w:rsidR="00F225AE" w:rsidRPr="00F225AE" w:rsidRDefault="00F225AE" w:rsidP="001562F1">
      <w:pPr>
        <w:numPr>
          <w:ilvl w:val="0"/>
          <w:numId w:val="17"/>
        </w:numPr>
        <w:contextualSpacing/>
        <w:jc w:val="both"/>
        <w:rPr>
          <w:color w:val="auto"/>
        </w:rPr>
      </w:pPr>
      <w:r w:rsidRPr="00F225AE">
        <w:rPr>
          <w:color w:val="auto"/>
        </w:rPr>
        <w:t xml:space="preserve">Switch the unit(s) on and warm up the lamps for five minutes, </w:t>
      </w:r>
      <w:proofErr w:type="gramStart"/>
      <w:r w:rsidRPr="00F225AE">
        <w:rPr>
          <w:color w:val="auto"/>
        </w:rPr>
        <w:t>so as to</w:t>
      </w:r>
      <w:proofErr w:type="gramEnd"/>
      <w:r w:rsidRPr="00F225AE">
        <w:rPr>
          <w:color w:val="auto"/>
        </w:rPr>
        <w:t xml:space="preserve"> allow the output to stabilise. </w:t>
      </w:r>
    </w:p>
    <w:p w14:paraId="0093B2BD" w14:textId="77777777" w:rsidR="00F225AE" w:rsidRPr="00F225AE" w:rsidRDefault="00F225AE" w:rsidP="001562F1">
      <w:pPr>
        <w:numPr>
          <w:ilvl w:val="0"/>
          <w:numId w:val="17"/>
        </w:numPr>
        <w:contextualSpacing/>
        <w:jc w:val="both"/>
        <w:rPr>
          <w:color w:val="auto"/>
        </w:rPr>
      </w:pPr>
      <w:r w:rsidRPr="00F225AE">
        <w:rPr>
          <w:color w:val="auto"/>
        </w:rPr>
        <w:t xml:space="preserve">Place the UV detector face down in the top left position (1) on the template, ensuring the diffuser is flush with the surface of the treatment unit. </w:t>
      </w:r>
    </w:p>
    <w:p w14:paraId="3D3CA978" w14:textId="77777777" w:rsidR="00F225AE" w:rsidRPr="00F225AE" w:rsidRDefault="00F225AE" w:rsidP="001562F1">
      <w:pPr>
        <w:numPr>
          <w:ilvl w:val="0"/>
          <w:numId w:val="17"/>
        </w:numPr>
        <w:contextualSpacing/>
        <w:jc w:val="both"/>
        <w:rPr>
          <w:color w:val="auto"/>
        </w:rPr>
      </w:pPr>
      <w:r w:rsidRPr="00F225AE">
        <w:rPr>
          <w:color w:val="auto"/>
        </w:rPr>
        <w:t>Wait for the reading on the radiometer to stabilise then make a note of it.</w:t>
      </w:r>
    </w:p>
    <w:p w14:paraId="5B3E2BE6" w14:textId="77777777" w:rsidR="00F225AE" w:rsidRPr="00F225AE" w:rsidRDefault="00F225AE" w:rsidP="001562F1">
      <w:pPr>
        <w:numPr>
          <w:ilvl w:val="0"/>
          <w:numId w:val="17"/>
        </w:numPr>
        <w:contextualSpacing/>
        <w:jc w:val="both"/>
        <w:rPr>
          <w:color w:val="auto"/>
        </w:rPr>
      </w:pPr>
      <w:r w:rsidRPr="00F225AE">
        <w:rPr>
          <w:color w:val="auto"/>
        </w:rPr>
        <w:t>Repeat steps iii and iv for all nine positions on the template.</w:t>
      </w:r>
    </w:p>
    <w:p w14:paraId="7B26EA8C" w14:textId="77777777" w:rsidR="00F225AE" w:rsidRPr="00F225AE" w:rsidRDefault="00F225AE" w:rsidP="001562F1">
      <w:pPr>
        <w:numPr>
          <w:ilvl w:val="0"/>
          <w:numId w:val="17"/>
        </w:numPr>
        <w:contextualSpacing/>
        <w:jc w:val="both"/>
        <w:rPr>
          <w:color w:val="auto"/>
        </w:rPr>
      </w:pPr>
      <w:r w:rsidRPr="00F225AE">
        <w:rPr>
          <w:color w:val="auto"/>
        </w:rPr>
        <w:t>Take the average of the nine measurements and apply applicable meter calibration factors to obtain the DPI.</w:t>
      </w:r>
    </w:p>
    <w:p w14:paraId="1F00EE74" w14:textId="77777777" w:rsidR="00F225AE" w:rsidRPr="00F225AE" w:rsidRDefault="00F225AE" w:rsidP="00F225AE">
      <w:pPr>
        <w:ind w:left="1800"/>
        <w:contextualSpacing/>
        <w:jc w:val="both"/>
        <w:rPr>
          <w:color w:val="auto"/>
        </w:rPr>
      </w:pPr>
    </w:p>
    <w:p w14:paraId="01C899B5" w14:textId="77777777" w:rsidR="00F225AE" w:rsidRPr="00F225AE" w:rsidRDefault="00F225AE" w:rsidP="00835CE2">
      <w:pPr>
        <w:pStyle w:val="IntenseQuote"/>
      </w:pPr>
      <w:r w:rsidRPr="00F225AE">
        <w:t>Dorsal unit</w:t>
      </w:r>
    </w:p>
    <w:p w14:paraId="07BD65C3" w14:textId="77777777" w:rsidR="00F225AE" w:rsidRPr="00F225AE" w:rsidRDefault="00F225AE" w:rsidP="001562F1">
      <w:pPr>
        <w:numPr>
          <w:ilvl w:val="0"/>
          <w:numId w:val="18"/>
        </w:numPr>
        <w:contextualSpacing/>
        <w:jc w:val="both"/>
        <w:rPr>
          <w:color w:val="auto"/>
        </w:rPr>
      </w:pPr>
      <w:r w:rsidRPr="00F225AE">
        <w:rPr>
          <w:color w:val="auto"/>
        </w:rPr>
        <w:t>Place the template on the surface of the palmer unit</w:t>
      </w:r>
    </w:p>
    <w:p w14:paraId="07F59561" w14:textId="77777777" w:rsidR="00F225AE" w:rsidRPr="00F225AE" w:rsidRDefault="00F225AE" w:rsidP="001562F1">
      <w:pPr>
        <w:numPr>
          <w:ilvl w:val="0"/>
          <w:numId w:val="18"/>
        </w:numPr>
        <w:contextualSpacing/>
        <w:jc w:val="both"/>
        <w:rPr>
          <w:color w:val="auto"/>
        </w:rPr>
      </w:pPr>
      <w:r w:rsidRPr="00F225AE">
        <w:rPr>
          <w:color w:val="auto"/>
        </w:rPr>
        <w:t xml:space="preserve">Switch the unit(s) on and warm up the lamps for five minutes, </w:t>
      </w:r>
      <w:proofErr w:type="gramStart"/>
      <w:r w:rsidRPr="00F225AE">
        <w:rPr>
          <w:color w:val="auto"/>
        </w:rPr>
        <w:t>so as to</w:t>
      </w:r>
      <w:proofErr w:type="gramEnd"/>
      <w:r w:rsidRPr="00F225AE">
        <w:rPr>
          <w:color w:val="auto"/>
        </w:rPr>
        <w:t xml:space="preserve"> allow the output to stabilise. </w:t>
      </w:r>
    </w:p>
    <w:p w14:paraId="737062CC" w14:textId="77777777" w:rsidR="00F225AE" w:rsidRPr="00F225AE" w:rsidRDefault="00F225AE" w:rsidP="001562F1">
      <w:pPr>
        <w:numPr>
          <w:ilvl w:val="0"/>
          <w:numId w:val="18"/>
        </w:numPr>
        <w:contextualSpacing/>
        <w:jc w:val="both"/>
        <w:rPr>
          <w:color w:val="auto"/>
        </w:rPr>
      </w:pPr>
      <w:r w:rsidRPr="00F225AE">
        <w:rPr>
          <w:color w:val="auto"/>
        </w:rPr>
        <w:t xml:space="preserve">Place the UV detector face up in the top left position (1) on the template, ensuring that it is flat. </w:t>
      </w:r>
    </w:p>
    <w:p w14:paraId="398B2260" w14:textId="77777777" w:rsidR="00F225AE" w:rsidRPr="00F225AE" w:rsidRDefault="00F225AE" w:rsidP="001562F1">
      <w:pPr>
        <w:numPr>
          <w:ilvl w:val="0"/>
          <w:numId w:val="18"/>
        </w:numPr>
        <w:contextualSpacing/>
        <w:jc w:val="both"/>
        <w:rPr>
          <w:color w:val="auto"/>
        </w:rPr>
      </w:pPr>
      <w:r w:rsidRPr="00F225AE">
        <w:rPr>
          <w:color w:val="auto"/>
        </w:rPr>
        <w:t>Wait for the reading on the radiometer to stabilise then make a note of it.</w:t>
      </w:r>
    </w:p>
    <w:p w14:paraId="29B28FF9" w14:textId="77777777" w:rsidR="00F225AE" w:rsidRPr="00F225AE" w:rsidRDefault="00F225AE" w:rsidP="001562F1">
      <w:pPr>
        <w:numPr>
          <w:ilvl w:val="0"/>
          <w:numId w:val="18"/>
        </w:numPr>
        <w:contextualSpacing/>
        <w:jc w:val="both"/>
        <w:rPr>
          <w:color w:val="auto"/>
        </w:rPr>
      </w:pPr>
      <w:r w:rsidRPr="00F225AE">
        <w:rPr>
          <w:color w:val="auto"/>
        </w:rPr>
        <w:t>Repeat steps iii and iv for all nine positions on the template.</w:t>
      </w:r>
    </w:p>
    <w:p w14:paraId="424A07CB" w14:textId="77777777" w:rsidR="00F225AE" w:rsidRPr="00F225AE" w:rsidRDefault="00F225AE" w:rsidP="001562F1">
      <w:pPr>
        <w:numPr>
          <w:ilvl w:val="0"/>
          <w:numId w:val="18"/>
        </w:numPr>
        <w:contextualSpacing/>
        <w:jc w:val="both"/>
        <w:rPr>
          <w:color w:val="auto"/>
        </w:rPr>
      </w:pPr>
      <w:r w:rsidRPr="00F225AE">
        <w:rPr>
          <w:color w:val="auto"/>
        </w:rPr>
        <w:t xml:space="preserve">Take the average of the nine measurements and apply applicable meter correction factors </w:t>
      </w:r>
      <w:proofErr w:type="gramStart"/>
      <w:r w:rsidRPr="00F225AE">
        <w:rPr>
          <w:color w:val="auto"/>
        </w:rPr>
        <w:t>in order to</w:t>
      </w:r>
      <w:proofErr w:type="gramEnd"/>
      <w:r w:rsidRPr="00F225AE">
        <w:rPr>
          <w:color w:val="auto"/>
        </w:rPr>
        <w:t xml:space="preserve"> obtain the DPI.</w:t>
      </w:r>
    </w:p>
    <w:p w14:paraId="2D19C366" w14:textId="77777777" w:rsidR="00F225AE" w:rsidRPr="00F225AE" w:rsidRDefault="00F225AE" w:rsidP="00F225AE">
      <w:pPr>
        <w:rPr>
          <w:rFonts w:eastAsiaTheme="minorHAnsi"/>
          <w:b/>
          <w:color w:val="auto"/>
          <w:lang w:eastAsia="en-US"/>
        </w:rPr>
      </w:pPr>
    </w:p>
    <w:p w14:paraId="5069F2ED" w14:textId="77777777" w:rsidR="00F225AE" w:rsidRPr="00F225AE" w:rsidRDefault="00F225AE" w:rsidP="00F225AE">
      <w:pPr>
        <w:rPr>
          <w:rFonts w:eastAsiaTheme="minorHAnsi"/>
          <w:color w:val="auto"/>
          <w:lang w:eastAsia="en-US"/>
        </w:rPr>
      </w:pPr>
    </w:p>
    <w:p w14:paraId="0B9943E5" w14:textId="77777777" w:rsidR="00F225AE" w:rsidRPr="00F225AE" w:rsidRDefault="00F225AE" w:rsidP="00F225AE">
      <w:pPr>
        <w:rPr>
          <w:rFonts w:eastAsiaTheme="minorHAnsi"/>
          <w:color w:val="auto"/>
          <w:lang w:eastAsia="en-US"/>
        </w:rPr>
      </w:pPr>
    </w:p>
    <w:p w14:paraId="11CE5AD9" w14:textId="77777777" w:rsidR="00F225AE" w:rsidRPr="00F225AE" w:rsidRDefault="00F225AE" w:rsidP="00F225AE">
      <w:pPr>
        <w:rPr>
          <w:rFonts w:eastAsiaTheme="minorHAnsi"/>
          <w:color w:val="auto"/>
          <w:lang w:eastAsia="en-US"/>
        </w:rPr>
      </w:pPr>
    </w:p>
    <w:p w14:paraId="347FE237" w14:textId="77777777" w:rsidR="00F225AE" w:rsidRPr="00F225AE" w:rsidRDefault="00F225AE" w:rsidP="00F225AE">
      <w:pPr>
        <w:rPr>
          <w:rFonts w:eastAsiaTheme="minorHAnsi"/>
          <w:color w:val="auto"/>
          <w:lang w:eastAsia="en-US"/>
        </w:rPr>
      </w:pPr>
      <w:r w:rsidRPr="00F225AE">
        <w:rPr>
          <w:rFonts w:eastAsiaTheme="minorHAnsi"/>
          <w:color w:val="auto"/>
          <w:lang w:eastAsia="en-US"/>
        </w:rPr>
        <w:br w:type="page"/>
      </w:r>
    </w:p>
    <w:p w14:paraId="547C2BB5" w14:textId="77777777" w:rsidR="00F225AE" w:rsidRPr="00F225AE" w:rsidRDefault="00F225AE" w:rsidP="001562F1">
      <w:pPr>
        <w:pStyle w:val="Heading1"/>
      </w:pPr>
      <w:bookmarkStart w:id="14" w:name="_Toc134530369"/>
      <w:proofErr w:type="spellStart"/>
      <w:r w:rsidRPr="00F225AE">
        <w:lastRenderedPageBreak/>
        <w:t>Dosimetery</w:t>
      </w:r>
      <w:proofErr w:type="spellEnd"/>
      <w:r w:rsidRPr="00F225AE">
        <w:t xml:space="preserve"> Protocol No. 5: </w:t>
      </w:r>
      <w:proofErr w:type="spellStart"/>
      <w:r w:rsidRPr="00F225AE">
        <w:t>Psoracomb</w:t>
      </w:r>
      <w:bookmarkEnd w:id="14"/>
      <w:proofErr w:type="spellEnd"/>
    </w:p>
    <w:p w14:paraId="3AA5B13F" w14:textId="77777777" w:rsidR="00F225AE" w:rsidRPr="00F225AE" w:rsidRDefault="00F225AE" w:rsidP="00F225AE">
      <w:pPr>
        <w:rPr>
          <w:rFonts w:eastAsiaTheme="minorHAnsi"/>
          <w:b/>
          <w:color w:val="auto"/>
          <w:lang w:eastAsia="en-US"/>
        </w:rPr>
      </w:pPr>
    </w:p>
    <w:p w14:paraId="018D8659" w14:textId="77777777" w:rsidR="00F225AE" w:rsidRPr="00F225AE" w:rsidRDefault="00F225AE" w:rsidP="00F225AE">
      <w:pPr>
        <w:rPr>
          <w:rFonts w:eastAsiaTheme="minorHAnsi"/>
          <w:color w:val="auto"/>
          <w:lang w:eastAsia="en-US"/>
        </w:rPr>
      </w:pPr>
      <w:r w:rsidRPr="00F225AE">
        <w:rPr>
          <w:rFonts w:eastAsiaTheme="minorHAnsi"/>
          <w:color w:val="auto"/>
          <w:lang w:eastAsia="en-US"/>
        </w:rPr>
        <w:t>Overall responsibility for UV dosimetry at each treatment centre should be ascribed to a Responsible Person. This should be a Medical Physicist who is appropriately resourced and knowledgeable in the evaluation of ultra-violet radiation measurements and risks.</w:t>
      </w:r>
    </w:p>
    <w:p w14:paraId="2D67AA3F" w14:textId="77777777" w:rsidR="00F225AE" w:rsidRPr="00F225AE" w:rsidRDefault="00F225AE" w:rsidP="00F225AE">
      <w:pPr>
        <w:rPr>
          <w:rFonts w:eastAsiaTheme="minorHAnsi"/>
          <w:color w:val="auto"/>
          <w:lang w:eastAsia="en-US"/>
        </w:rPr>
      </w:pPr>
      <w:r w:rsidRPr="00F225AE">
        <w:rPr>
          <w:rFonts w:eastAsiaTheme="minorHAnsi"/>
          <w:color w:val="auto"/>
          <w:lang w:eastAsia="en-US"/>
        </w:rPr>
        <w:t xml:space="preserve">All risks should be considered when performing dosimetry, including the risk to the patient from inaccurate or inappropriate dosimetry. The Designated Patient Irradiance (DPI) for a </w:t>
      </w:r>
      <w:proofErr w:type="spellStart"/>
      <w:r w:rsidRPr="00F225AE">
        <w:rPr>
          <w:rFonts w:eastAsiaTheme="minorHAnsi"/>
          <w:color w:val="auto"/>
          <w:lang w:eastAsia="en-US"/>
        </w:rPr>
        <w:t>psoracomb</w:t>
      </w:r>
      <w:proofErr w:type="spellEnd"/>
      <w:r w:rsidRPr="00F225AE">
        <w:rPr>
          <w:rFonts w:eastAsiaTheme="minorHAnsi"/>
          <w:color w:val="auto"/>
          <w:lang w:eastAsia="en-US"/>
        </w:rPr>
        <w:t xml:space="preserve"> is defined as: the mean irradiance incident on a patient’s scalp from the </w:t>
      </w:r>
      <w:proofErr w:type="spellStart"/>
      <w:r w:rsidRPr="00F225AE">
        <w:rPr>
          <w:rFonts w:eastAsiaTheme="minorHAnsi"/>
          <w:color w:val="auto"/>
          <w:lang w:eastAsia="en-US"/>
        </w:rPr>
        <w:t>psoracomb</w:t>
      </w:r>
      <w:proofErr w:type="spellEnd"/>
      <w:r w:rsidRPr="00F225AE">
        <w:rPr>
          <w:rFonts w:eastAsiaTheme="minorHAnsi"/>
          <w:color w:val="auto"/>
          <w:lang w:eastAsia="en-US"/>
        </w:rPr>
        <w:t xml:space="preserve"> device. Measurements can be made with or without a template or jig, provided they can be related to the DPI as defined above. If the method used introduces a discrepancy &lt;5% this is acceptable without correction to the DPI, provided this is documented.</w:t>
      </w:r>
    </w:p>
    <w:p w14:paraId="7CFB0947" w14:textId="77777777" w:rsidR="00F225AE" w:rsidRPr="00F225AE" w:rsidRDefault="00F225AE" w:rsidP="00F225AE">
      <w:pPr>
        <w:rPr>
          <w:rFonts w:eastAsiaTheme="minorHAnsi"/>
          <w:color w:val="auto"/>
          <w:lang w:eastAsia="en-US"/>
        </w:rPr>
      </w:pPr>
    </w:p>
    <w:p w14:paraId="459FDEB1" w14:textId="77777777" w:rsidR="00F225AE" w:rsidRPr="00F225AE" w:rsidRDefault="00F225AE" w:rsidP="00835CE2">
      <w:pPr>
        <w:pStyle w:val="IntenseQuote"/>
        <w:numPr>
          <w:ilvl w:val="0"/>
          <w:numId w:val="23"/>
        </w:numPr>
      </w:pPr>
      <w:r w:rsidRPr="00F225AE">
        <w:t>Measuring irradiance</w:t>
      </w:r>
    </w:p>
    <w:p w14:paraId="212F1221" w14:textId="77777777" w:rsidR="00F225AE" w:rsidRPr="00F225AE" w:rsidRDefault="00F225AE" w:rsidP="001562F1">
      <w:pPr>
        <w:numPr>
          <w:ilvl w:val="1"/>
          <w:numId w:val="16"/>
        </w:numPr>
        <w:ind w:left="1134"/>
        <w:contextualSpacing/>
        <w:jc w:val="both"/>
        <w:rPr>
          <w:color w:val="auto"/>
        </w:rPr>
      </w:pPr>
      <w:r w:rsidRPr="00F225AE">
        <w:rPr>
          <w:color w:val="auto"/>
        </w:rPr>
        <w:t xml:space="preserve">To accurately simulate a </w:t>
      </w:r>
      <w:proofErr w:type="spellStart"/>
      <w:r w:rsidRPr="00F225AE">
        <w:rPr>
          <w:color w:val="auto"/>
        </w:rPr>
        <w:t>psoracomb</w:t>
      </w:r>
      <w:proofErr w:type="spellEnd"/>
      <w:r w:rsidRPr="00F225AE">
        <w:rPr>
          <w:color w:val="auto"/>
        </w:rPr>
        <w:t xml:space="preserve"> as used by a patient, dosimetry should be carried out with the plastic comb attached.</w:t>
      </w:r>
    </w:p>
    <w:p w14:paraId="25D7500F" w14:textId="77777777" w:rsidR="00F225AE" w:rsidRPr="00F225AE" w:rsidRDefault="00F225AE" w:rsidP="001562F1">
      <w:pPr>
        <w:numPr>
          <w:ilvl w:val="1"/>
          <w:numId w:val="16"/>
        </w:numPr>
        <w:ind w:left="1134"/>
        <w:contextualSpacing/>
        <w:jc w:val="both"/>
        <w:rPr>
          <w:color w:val="auto"/>
        </w:rPr>
      </w:pPr>
      <w:r w:rsidRPr="00F225AE">
        <w:rPr>
          <w:color w:val="auto"/>
        </w:rPr>
        <w:t xml:space="preserve">The </w:t>
      </w:r>
      <w:proofErr w:type="spellStart"/>
      <w:r w:rsidRPr="00F225AE">
        <w:rPr>
          <w:color w:val="auto"/>
        </w:rPr>
        <w:t>psoracomb</w:t>
      </w:r>
      <w:proofErr w:type="spellEnd"/>
      <w:r w:rsidRPr="00F225AE">
        <w:rPr>
          <w:color w:val="auto"/>
        </w:rPr>
        <w:t xml:space="preserve"> and UV detector should be held in clamp stands and aligned (see below) so that the front face of the diffuser sits parallel with the front face of the </w:t>
      </w:r>
      <w:proofErr w:type="spellStart"/>
      <w:r w:rsidRPr="00F225AE">
        <w:rPr>
          <w:color w:val="auto"/>
        </w:rPr>
        <w:t>psoracomb</w:t>
      </w:r>
      <w:proofErr w:type="spellEnd"/>
      <w:r w:rsidRPr="00F225AE">
        <w:rPr>
          <w:color w:val="auto"/>
        </w:rPr>
        <w:t xml:space="preserve"> and at the outer edge of the plastic comb (~3cm from the lamp).</w:t>
      </w:r>
    </w:p>
    <w:p w14:paraId="502721A5" w14:textId="77777777" w:rsidR="00F225AE" w:rsidRPr="00F225AE" w:rsidRDefault="00F225AE" w:rsidP="001562F1">
      <w:pPr>
        <w:numPr>
          <w:ilvl w:val="1"/>
          <w:numId w:val="16"/>
        </w:numPr>
        <w:ind w:left="1134"/>
        <w:contextualSpacing/>
        <w:jc w:val="both"/>
        <w:rPr>
          <w:color w:val="auto"/>
        </w:rPr>
      </w:pPr>
      <w:r w:rsidRPr="00F225AE">
        <w:rPr>
          <w:color w:val="auto"/>
        </w:rPr>
        <w:t xml:space="preserve">The </w:t>
      </w:r>
      <w:proofErr w:type="spellStart"/>
      <w:r w:rsidRPr="00F225AE">
        <w:rPr>
          <w:color w:val="auto"/>
        </w:rPr>
        <w:t>psoracomb</w:t>
      </w:r>
      <w:proofErr w:type="spellEnd"/>
      <w:r w:rsidRPr="00F225AE">
        <w:rPr>
          <w:color w:val="auto"/>
        </w:rPr>
        <w:t xml:space="preserve"> should be warmed up for a period of five minutes to allow the output to stabilise before measurements are taken.</w:t>
      </w:r>
    </w:p>
    <w:p w14:paraId="08429AC0" w14:textId="77777777" w:rsidR="00F225AE" w:rsidRPr="00F225AE" w:rsidRDefault="00F225AE" w:rsidP="001562F1">
      <w:pPr>
        <w:numPr>
          <w:ilvl w:val="1"/>
          <w:numId w:val="16"/>
        </w:numPr>
        <w:ind w:left="1134"/>
        <w:contextualSpacing/>
        <w:jc w:val="both"/>
        <w:rPr>
          <w:color w:val="auto"/>
        </w:rPr>
      </w:pPr>
      <w:r w:rsidRPr="00F225AE">
        <w:rPr>
          <w:color w:val="auto"/>
        </w:rPr>
        <w:t xml:space="preserve">Record the output of the </w:t>
      </w:r>
      <w:proofErr w:type="spellStart"/>
      <w:r w:rsidRPr="00F225AE">
        <w:rPr>
          <w:color w:val="auto"/>
        </w:rPr>
        <w:t>psoracomb</w:t>
      </w:r>
      <w:proofErr w:type="spellEnd"/>
      <w:r w:rsidRPr="00F225AE">
        <w:rPr>
          <w:color w:val="auto"/>
        </w:rPr>
        <w:t xml:space="preserve"> at six different positions from the top to the bottom of the lamp.</w:t>
      </w:r>
    </w:p>
    <w:p w14:paraId="7E376920" w14:textId="3C5CFB55" w:rsidR="00F225AE" w:rsidRDefault="00F225AE" w:rsidP="001562F1">
      <w:pPr>
        <w:numPr>
          <w:ilvl w:val="1"/>
          <w:numId w:val="16"/>
        </w:numPr>
        <w:ind w:left="1134"/>
        <w:contextualSpacing/>
        <w:jc w:val="both"/>
        <w:rPr>
          <w:color w:val="auto"/>
        </w:rPr>
      </w:pPr>
      <w:r w:rsidRPr="00F225AE">
        <w:rPr>
          <w:color w:val="auto"/>
        </w:rPr>
        <w:t xml:space="preserve">Take the average of these six measurements and apply applicable meter calibration factors to obtain the DPI.    </w:t>
      </w:r>
    </w:p>
    <w:p w14:paraId="5622C4AB" w14:textId="0EDFB754" w:rsidR="003D32F5" w:rsidRDefault="003D32F5" w:rsidP="003D32F5">
      <w:pPr>
        <w:contextualSpacing/>
        <w:jc w:val="both"/>
        <w:rPr>
          <w:color w:val="auto"/>
        </w:rPr>
      </w:pPr>
    </w:p>
    <w:p w14:paraId="3788D7E0" w14:textId="77777777" w:rsidR="003D32F5" w:rsidRPr="00F225AE" w:rsidRDefault="003D32F5" w:rsidP="003D32F5">
      <w:pPr>
        <w:contextualSpacing/>
        <w:jc w:val="both"/>
        <w:rPr>
          <w:color w:val="auto"/>
        </w:rPr>
      </w:pPr>
    </w:p>
    <w:p w14:paraId="2EC8E55D" w14:textId="77777777" w:rsidR="00F225AE" w:rsidRPr="00F225AE" w:rsidRDefault="00F225AE" w:rsidP="00F225AE">
      <w:pPr>
        <w:ind w:left="1134"/>
        <w:contextualSpacing/>
        <w:jc w:val="both"/>
        <w:rPr>
          <w:color w:val="auto"/>
        </w:rPr>
      </w:pPr>
    </w:p>
    <w:p w14:paraId="6C13FA9F" w14:textId="4078EF3C" w:rsidR="00F225AE" w:rsidRPr="00F225AE" w:rsidRDefault="003D32F5" w:rsidP="003D32F5">
      <w:pPr>
        <w:ind w:left="1134"/>
        <w:contextualSpacing/>
        <w:jc w:val="center"/>
        <w:rPr>
          <w:color w:val="auto"/>
        </w:rPr>
      </w:pPr>
      <w:r>
        <w:rPr>
          <w:noProof/>
        </w:rPr>
        <w:drawing>
          <wp:inline distT="0" distB="0" distL="0" distR="0" wp14:anchorId="7A7EADEE" wp14:editId="685E14E6">
            <wp:extent cx="2736535" cy="2052401"/>
            <wp:effectExtent l="0" t="952" r="6032" b="6033"/>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6" cstate="print"/>
                    <a:srcRect/>
                    <a:stretch>
                      <a:fillRect/>
                    </a:stretch>
                  </pic:blipFill>
                  <pic:spPr bwMode="auto">
                    <a:xfrm rot="5400000">
                      <a:off x="0" y="0"/>
                      <a:ext cx="2739637" cy="2054727"/>
                    </a:xfrm>
                    <a:prstGeom prst="rect">
                      <a:avLst/>
                    </a:prstGeom>
                    <a:noFill/>
                    <a:ln w="9525">
                      <a:noFill/>
                      <a:miter lim="800000"/>
                      <a:headEnd/>
                      <a:tailEnd/>
                    </a:ln>
                  </pic:spPr>
                </pic:pic>
              </a:graphicData>
            </a:graphic>
          </wp:inline>
        </w:drawing>
      </w:r>
    </w:p>
    <w:p w14:paraId="3F4BBFF8" w14:textId="77777777" w:rsidR="00F225AE" w:rsidRPr="00F225AE" w:rsidRDefault="00F225AE" w:rsidP="00F225AE">
      <w:pPr>
        <w:rPr>
          <w:lang w:eastAsia="en-US"/>
        </w:rPr>
      </w:pPr>
    </w:p>
    <w:sectPr w:rsidR="00F225AE" w:rsidRPr="00F225AE" w:rsidSect="00E26836">
      <w:headerReference w:type="default" r:id="rId17"/>
      <w:footerReference w:type="default" r:id="rId18"/>
      <w:headerReference w:type="first" r:id="rId19"/>
      <w:footerReference w:type="first" r:id="rId20"/>
      <w:pgSz w:w="11906" w:h="16838"/>
      <w:pgMar w:top="1560" w:right="1440" w:bottom="851" w:left="1440"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E571" w14:textId="77777777" w:rsidR="00965CCC" w:rsidRDefault="00965CCC" w:rsidP="003A4B82">
      <w:r>
        <w:separator/>
      </w:r>
    </w:p>
    <w:p w14:paraId="33E2A594" w14:textId="77777777" w:rsidR="00FF7344" w:rsidRDefault="00FF7344" w:rsidP="003A4B82"/>
    <w:p w14:paraId="222EE6F1" w14:textId="77777777" w:rsidR="00FF7344" w:rsidRDefault="00FF7344" w:rsidP="003A4B82"/>
    <w:p w14:paraId="1FABDBA8" w14:textId="77777777" w:rsidR="00FF7344" w:rsidRDefault="00FF7344" w:rsidP="003A4B82"/>
  </w:endnote>
  <w:endnote w:type="continuationSeparator" w:id="0">
    <w:p w14:paraId="5B7C6F6E" w14:textId="77777777" w:rsidR="00965CCC" w:rsidRDefault="00965CCC" w:rsidP="003A4B82">
      <w:r>
        <w:continuationSeparator/>
      </w:r>
    </w:p>
    <w:p w14:paraId="12CD3BA3" w14:textId="77777777" w:rsidR="00FF7344" w:rsidRDefault="00FF7344" w:rsidP="003A4B82"/>
    <w:p w14:paraId="4E842BBA" w14:textId="77777777" w:rsidR="00FF7344" w:rsidRDefault="00FF7344" w:rsidP="003A4B82"/>
    <w:p w14:paraId="70149C3A" w14:textId="77777777" w:rsidR="00FF7344" w:rsidRDefault="00FF7344" w:rsidP="003A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C9F" w14:textId="6ED528CD" w:rsidR="00F225AE" w:rsidRPr="003A4B82" w:rsidRDefault="00F225AE" w:rsidP="00F225AE">
    <w:pPr>
      <w:rPr>
        <w:rStyle w:val="IntenseEmphasis"/>
      </w:rPr>
    </w:pPr>
    <w:r w:rsidRPr="003A4B82">
      <w:rPr>
        <w:rStyle w:val="IntenseEmphasis"/>
      </w:rPr>
      <w:t xml:space="preserve">Review: </w:t>
    </w:r>
    <w:r>
      <w:rPr>
        <w:rStyle w:val="IntenseEmphasis"/>
      </w:rPr>
      <w:t>March 202</w:t>
    </w:r>
    <w:r w:rsidR="00A13B21">
      <w:rPr>
        <w:rStyle w:val="IntenseEmphasis"/>
      </w:rPr>
      <w:t>6</w:t>
    </w:r>
  </w:p>
  <w:p w14:paraId="17862F97" w14:textId="2645D4EE" w:rsidR="00FF7344" w:rsidRPr="00F225AE" w:rsidRDefault="00F225AE" w:rsidP="00F225AE">
    <w:pPr>
      <w:pStyle w:val="Footer"/>
    </w:pPr>
    <w:r>
      <w:rPr>
        <w:rStyle w:val="IntenseEmphasis"/>
      </w:rPr>
      <w:t>NSD610-008.04   V6</w:t>
    </w:r>
    <w:r w:rsidRPr="003A4B82">
      <w:rPr>
        <w:rStyle w:val="IntenseEmphasis"/>
      </w:rPr>
      <w:tab/>
    </w:r>
    <w:r w:rsidRPr="003A4B82">
      <w:rPr>
        <w:rStyle w:val="IntenseEmphasis"/>
      </w:rPr>
      <w:tab/>
      <w:t xml:space="preserve">Page </w:t>
    </w:r>
    <w:r w:rsidRPr="003A4B82">
      <w:rPr>
        <w:rStyle w:val="IntenseEmphasis"/>
      </w:rPr>
      <w:fldChar w:fldCharType="begin"/>
    </w:r>
    <w:r w:rsidRPr="003A4B82">
      <w:rPr>
        <w:rStyle w:val="IntenseEmphasis"/>
      </w:rPr>
      <w:instrText xml:space="preserve"> PAGE  \* Arabic  \* MERGEFORMAT </w:instrText>
    </w:r>
    <w:r w:rsidRPr="003A4B82">
      <w:rPr>
        <w:rStyle w:val="IntenseEmphasis"/>
      </w:rPr>
      <w:fldChar w:fldCharType="separate"/>
    </w:r>
    <w:r>
      <w:rPr>
        <w:rStyle w:val="IntenseEmphasis"/>
      </w:rPr>
      <w:t>1</w:t>
    </w:r>
    <w:r w:rsidRPr="003A4B82">
      <w:rPr>
        <w:rStyle w:val="IntenseEmphasis"/>
      </w:rPr>
      <w:fldChar w:fldCharType="end"/>
    </w:r>
    <w:r w:rsidRPr="003A4B82">
      <w:rPr>
        <w:rStyle w:val="IntenseEmphasis"/>
      </w:rPr>
      <w:t xml:space="preserve"> of </w:t>
    </w:r>
    <w:r w:rsidRPr="003A4B82">
      <w:rPr>
        <w:rStyle w:val="IntenseEmphasis"/>
      </w:rPr>
      <w:fldChar w:fldCharType="begin"/>
    </w:r>
    <w:r w:rsidRPr="003A4B82">
      <w:rPr>
        <w:rStyle w:val="IntenseEmphasis"/>
      </w:rPr>
      <w:instrText xml:space="preserve"> NUMPAGES  \* Arabic  \* MERGEFORMAT </w:instrText>
    </w:r>
    <w:r w:rsidRPr="003A4B82">
      <w:rPr>
        <w:rStyle w:val="IntenseEmphasis"/>
      </w:rPr>
      <w:fldChar w:fldCharType="separate"/>
    </w:r>
    <w:r>
      <w:rPr>
        <w:rStyle w:val="IntenseEmphasis"/>
      </w:rPr>
      <w:t>3</w:t>
    </w:r>
    <w:r w:rsidRPr="003A4B82">
      <w:rPr>
        <w:rStyle w:val="IntenseEmphasi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C8AE771" w:rsidR="00E75020" w:rsidRPr="003A4B82" w:rsidRDefault="00E75020" w:rsidP="003A4B82">
    <w:pPr>
      <w:rPr>
        <w:rStyle w:val="IntenseEmphasis"/>
      </w:rPr>
    </w:pPr>
    <w:r w:rsidRPr="003A4B82">
      <w:rPr>
        <w:rStyle w:val="IntenseEmphasis"/>
      </w:rPr>
      <w:t>Review:</w:t>
    </w:r>
    <w:r w:rsidR="005A1EDC" w:rsidRPr="003A4B82">
      <w:rPr>
        <w:rStyle w:val="IntenseEmphasis"/>
      </w:rPr>
      <w:t xml:space="preserve"> </w:t>
    </w:r>
    <w:r w:rsidR="00F225AE">
      <w:rPr>
        <w:rStyle w:val="IntenseEmphasis"/>
      </w:rPr>
      <w:t>March 202</w:t>
    </w:r>
    <w:r w:rsidR="00A13B21">
      <w:rPr>
        <w:rStyle w:val="IntenseEmphasis"/>
      </w:rPr>
      <w:t>6</w:t>
    </w:r>
  </w:p>
  <w:p w14:paraId="4395E663" w14:textId="18A1794E" w:rsidR="00FF7344" w:rsidRPr="003A4B82" w:rsidRDefault="00F225AE" w:rsidP="003A4B82">
    <w:pPr>
      <w:pStyle w:val="Footer"/>
    </w:pPr>
    <w:r>
      <w:rPr>
        <w:rStyle w:val="IntenseEmphasis"/>
      </w:rPr>
      <w:t>NSD610-008.04   V6</w:t>
    </w:r>
    <w:r w:rsidR="00E75020" w:rsidRPr="003A4B82">
      <w:rPr>
        <w:rStyle w:val="IntenseEmphasis"/>
      </w:rPr>
      <w:tab/>
    </w:r>
    <w:r w:rsidR="00E75020" w:rsidRPr="003A4B82">
      <w:rPr>
        <w:rStyle w:val="IntenseEmphasis"/>
      </w:rPr>
      <w:tab/>
      <w:t xml:space="preserve">Page </w:t>
    </w:r>
    <w:r w:rsidR="00E75020" w:rsidRPr="003A4B82">
      <w:rPr>
        <w:rStyle w:val="IntenseEmphasis"/>
      </w:rPr>
      <w:fldChar w:fldCharType="begin"/>
    </w:r>
    <w:r w:rsidR="00E75020" w:rsidRPr="003A4B82">
      <w:rPr>
        <w:rStyle w:val="IntenseEmphasis"/>
      </w:rPr>
      <w:instrText xml:space="preserve"> PAGE  \* Arabic  \* MERGEFORMAT </w:instrText>
    </w:r>
    <w:r w:rsidR="00E75020" w:rsidRPr="003A4B82">
      <w:rPr>
        <w:rStyle w:val="IntenseEmphasis"/>
      </w:rPr>
      <w:fldChar w:fldCharType="separate"/>
    </w:r>
    <w:r w:rsidR="00E75020" w:rsidRPr="003A4B82">
      <w:rPr>
        <w:rStyle w:val="IntenseEmphasis"/>
      </w:rPr>
      <w:t>2</w:t>
    </w:r>
    <w:r w:rsidR="00E75020" w:rsidRPr="003A4B82">
      <w:rPr>
        <w:rStyle w:val="IntenseEmphasis"/>
      </w:rPr>
      <w:fldChar w:fldCharType="end"/>
    </w:r>
    <w:r w:rsidR="00E75020" w:rsidRPr="003A4B82">
      <w:rPr>
        <w:rStyle w:val="IntenseEmphasis"/>
      </w:rPr>
      <w:t xml:space="preserve"> of </w:t>
    </w:r>
    <w:r w:rsidR="00E75020" w:rsidRPr="003A4B82">
      <w:rPr>
        <w:rStyle w:val="IntenseEmphasis"/>
      </w:rPr>
      <w:fldChar w:fldCharType="begin"/>
    </w:r>
    <w:r w:rsidR="00E75020" w:rsidRPr="003A4B82">
      <w:rPr>
        <w:rStyle w:val="IntenseEmphasis"/>
      </w:rPr>
      <w:instrText xml:space="preserve"> NUMPAGES  \* Arabic  \* MERGEFORMAT </w:instrText>
    </w:r>
    <w:r w:rsidR="00E75020" w:rsidRPr="003A4B82">
      <w:rPr>
        <w:rStyle w:val="IntenseEmphasis"/>
      </w:rPr>
      <w:fldChar w:fldCharType="separate"/>
    </w:r>
    <w:r w:rsidR="00E75020" w:rsidRPr="003A4B82">
      <w:rPr>
        <w:rStyle w:val="IntenseEmphasis"/>
      </w:rPr>
      <w:t>5</w:t>
    </w:r>
    <w:r w:rsidR="00E75020" w:rsidRPr="003A4B82">
      <w:rPr>
        <w:rStyle w:val="IntenseEmphasi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4415" w14:textId="77777777" w:rsidR="00965CCC" w:rsidRDefault="00965CCC" w:rsidP="003A4B82">
      <w:r>
        <w:separator/>
      </w:r>
    </w:p>
    <w:p w14:paraId="6DBC01C9" w14:textId="77777777" w:rsidR="00FF7344" w:rsidRDefault="00FF7344" w:rsidP="003A4B82"/>
    <w:p w14:paraId="18F5C7CF" w14:textId="77777777" w:rsidR="00FF7344" w:rsidRDefault="00FF7344" w:rsidP="003A4B82"/>
    <w:p w14:paraId="1FB3BA50" w14:textId="77777777" w:rsidR="00FF7344" w:rsidRDefault="00FF7344" w:rsidP="003A4B82"/>
  </w:footnote>
  <w:footnote w:type="continuationSeparator" w:id="0">
    <w:p w14:paraId="6FFA790C" w14:textId="77777777" w:rsidR="00965CCC" w:rsidRDefault="00965CCC" w:rsidP="003A4B82">
      <w:r>
        <w:continuationSeparator/>
      </w:r>
    </w:p>
    <w:p w14:paraId="5DD08551" w14:textId="77777777" w:rsidR="00FF7344" w:rsidRDefault="00FF7344" w:rsidP="003A4B82"/>
    <w:p w14:paraId="2C8FED60" w14:textId="77777777" w:rsidR="00FF7344" w:rsidRDefault="00FF7344" w:rsidP="003A4B82"/>
    <w:p w14:paraId="49BDED11" w14:textId="77777777" w:rsidR="00FF7344" w:rsidRDefault="00FF7344" w:rsidP="003A4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61F2" w14:textId="77777777" w:rsidR="00F225AE" w:rsidRPr="00F225AE" w:rsidRDefault="00F225AE" w:rsidP="00F225AE">
    <w:pPr>
      <w:pStyle w:val="Header"/>
      <w:rPr>
        <w:rStyle w:val="SubtleEmphasis"/>
      </w:rPr>
    </w:pPr>
    <w:proofErr w:type="spellStart"/>
    <w:r w:rsidRPr="00F225AE">
      <w:rPr>
        <w:rStyle w:val="SubtleEmphasis"/>
      </w:rPr>
      <w:t>Photonet</w:t>
    </w:r>
    <w:proofErr w:type="spellEnd"/>
    <w:r w:rsidRPr="00F225AE">
      <w:rPr>
        <w:rStyle w:val="SubtleEmphasis"/>
      </w:rPr>
      <w:t xml:space="preserve"> National Managed Clinical Network</w:t>
    </w:r>
  </w:p>
  <w:p w14:paraId="32384AD5" w14:textId="21A054B0" w:rsidR="00382E4B" w:rsidRPr="00F225AE" w:rsidRDefault="00F225AE" w:rsidP="00F225AE">
    <w:pPr>
      <w:pStyle w:val="Header"/>
      <w:rPr>
        <w:rStyle w:val="Emphasis"/>
        <w:rFonts w:eastAsiaTheme="minorHAnsi"/>
        <w:b/>
        <w:bCs w:val="0"/>
        <w:color w:val="000000" w:themeColor="text1"/>
        <w:lang w:eastAsia="en-US"/>
      </w:rPr>
    </w:pPr>
    <w:r w:rsidRPr="00F225AE">
      <w:rPr>
        <w:rStyle w:val="SubtleEmphasis"/>
        <w:b w:val="0"/>
        <w:bCs/>
      </w:rPr>
      <w:t xml:space="preserve">Dosimetry Protocols for </w:t>
    </w:r>
    <w:proofErr w:type="spellStart"/>
    <w:r w:rsidRPr="00F225AE">
      <w:rPr>
        <w:rStyle w:val="SubtleEmphasis"/>
        <w:b w:val="0"/>
        <w:bCs/>
      </w:rPr>
      <w:t>Photonet</w:t>
    </w:r>
    <w:proofErr w:type="spellEnd"/>
    <w:r w:rsidRPr="00F225AE">
      <w:rPr>
        <w:rStyle w:val="SubtleEmphasis"/>
        <w:b w:val="0"/>
        <w:b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rsidP="003A4B82">
    <w:pPr>
      <w:pStyle w:val="Header"/>
    </w:pPr>
    <w:r>
      <w:rPr>
        <w:noProof/>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EDF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p w14:paraId="098B9EBB" w14:textId="77777777" w:rsidR="00FF7344" w:rsidRDefault="00FF7344" w:rsidP="003A4B82"/>
  <w:p w14:paraId="08E04F55" w14:textId="77777777" w:rsidR="00FF7344" w:rsidRDefault="00FF7344" w:rsidP="003A4B82"/>
  <w:p w14:paraId="533EA8C0" w14:textId="77777777" w:rsidR="00FF7344" w:rsidRDefault="00FF7344" w:rsidP="003A4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932"/>
    <w:multiLevelType w:val="hybridMultilevel"/>
    <w:tmpl w:val="07800ADC"/>
    <w:lvl w:ilvl="0" w:tplc="0BD2D70A">
      <w:start w:val="1"/>
      <w:numFmt w:val="lowerLetter"/>
      <w:lvlText w:val="%1)"/>
      <w:lvlJc w:val="left"/>
      <w:pPr>
        <w:ind w:left="720" w:hanging="360"/>
      </w:pPr>
      <w:rPr>
        <w:rFonts w:cstheme="minorHAnsi" w:hint="default"/>
      </w:rPr>
    </w:lvl>
    <w:lvl w:ilvl="1" w:tplc="CFF4522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D7CEF"/>
    <w:multiLevelType w:val="hybridMultilevel"/>
    <w:tmpl w:val="F26A6E8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B44D31"/>
    <w:multiLevelType w:val="hybridMultilevel"/>
    <w:tmpl w:val="85A819C0"/>
    <w:lvl w:ilvl="0" w:tplc="5E5EA02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D1E69"/>
    <w:multiLevelType w:val="hybridMultilevel"/>
    <w:tmpl w:val="960A8968"/>
    <w:lvl w:ilvl="0" w:tplc="E53CF17E">
      <w:start w:val="1"/>
      <w:numFmt w:val="decimal"/>
      <w:pStyle w:val="Heading1"/>
      <w:lvlText w:val="%1."/>
      <w:lvlJc w:val="left"/>
      <w:pPr>
        <w:ind w:left="360" w:hanging="360"/>
      </w:pPr>
      <w:rPr>
        <w:rFonts w:hint="default"/>
        <w:color w:val="004785"/>
        <w:sz w:val="32"/>
        <w:szCs w:val="36"/>
      </w:rPr>
    </w:lvl>
    <w:lvl w:ilvl="1" w:tplc="DDFE14C0">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5E24E3"/>
    <w:multiLevelType w:val="hybridMultilevel"/>
    <w:tmpl w:val="6368FB3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CA65E5"/>
    <w:multiLevelType w:val="hybridMultilevel"/>
    <w:tmpl w:val="F91C3688"/>
    <w:lvl w:ilvl="0" w:tplc="C0589F0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831B90"/>
    <w:multiLevelType w:val="hybridMultilevel"/>
    <w:tmpl w:val="1B0AA4E4"/>
    <w:lvl w:ilvl="0" w:tplc="0809000F">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206536"/>
    <w:multiLevelType w:val="hybridMultilevel"/>
    <w:tmpl w:val="31EA6278"/>
    <w:lvl w:ilvl="0" w:tplc="0809000F">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ED07340"/>
    <w:multiLevelType w:val="hybridMultilevel"/>
    <w:tmpl w:val="DDC692C6"/>
    <w:lvl w:ilvl="0" w:tplc="0409000F">
      <w:start w:val="1"/>
      <w:numFmt w:val="decimal"/>
      <w:lvlText w:val="%1."/>
      <w:lvlJc w:val="left"/>
      <w:pPr>
        <w:tabs>
          <w:tab w:val="num" w:pos="360"/>
        </w:tabs>
        <w:ind w:left="360" w:hanging="360"/>
      </w:pPr>
    </w:lvl>
    <w:lvl w:ilvl="1" w:tplc="C1B6E58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0DD2B94"/>
    <w:multiLevelType w:val="hybridMultilevel"/>
    <w:tmpl w:val="3134011A"/>
    <w:lvl w:ilvl="0" w:tplc="0BD2D70A">
      <w:start w:val="1"/>
      <w:numFmt w:val="lowerLetter"/>
      <w:lvlText w:val="%1)"/>
      <w:lvlJc w:val="left"/>
      <w:pPr>
        <w:ind w:left="720" w:hanging="360"/>
      </w:pPr>
      <w:rPr>
        <w:rFonts w:cstheme="minorHAnsi"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95F34"/>
    <w:multiLevelType w:val="hybridMultilevel"/>
    <w:tmpl w:val="26329642"/>
    <w:lvl w:ilvl="0" w:tplc="0409000F">
      <w:start w:val="1"/>
      <w:numFmt w:val="decimal"/>
      <w:lvlText w:val="%1."/>
      <w:lvlJc w:val="left"/>
      <w:pPr>
        <w:tabs>
          <w:tab w:val="num" w:pos="360"/>
        </w:tabs>
        <w:ind w:left="360" w:hanging="360"/>
      </w:pPr>
    </w:lvl>
    <w:lvl w:ilvl="1" w:tplc="34D42380">
      <w:start w:val="3"/>
      <w:numFmt w:val="lowerLetter"/>
      <w:lvlText w:val="(%2)"/>
      <w:lvlJc w:val="left"/>
      <w:pPr>
        <w:tabs>
          <w:tab w:val="num" w:pos="1095"/>
        </w:tabs>
        <w:ind w:left="1095" w:hanging="375"/>
      </w:pPr>
      <w:rPr>
        <w:rFonts w:hint="default"/>
      </w:rPr>
    </w:lvl>
    <w:lvl w:ilvl="2" w:tplc="CD14EF74">
      <w:start w:val="3"/>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F208AB"/>
    <w:multiLevelType w:val="hybridMultilevel"/>
    <w:tmpl w:val="908E3718"/>
    <w:lvl w:ilvl="0" w:tplc="CEFC2FB2">
      <w:start w:val="1"/>
      <w:numFmt w:val="upp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D690B"/>
    <w:multiLevelType w:val="hybridMultilevel"/>
    <w:tmpl w:val="23362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AF27097"/>
    <w:multiLevelType w:val="hybridMultilevel"/>
    <w:tmpl w:val="1C94A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EB4D79"/>
    <w:multiLevelType w:val="hybridMultilevel"/>
    <w:tmpl w:val="00C845CC"/>
    <w:lvl w:ilvl="0" w:tplc="2B167278">
      <w:start w:val="1"/>
      <w:numFmt w:val="decimal"/>
      <w:pStyle w:val="Quote"/>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6607F9"/>
    <w:multiLevelType w:val="hybridMultilevel"/>
    <w:tmpl w:val="9EB2A66E"/>
    <w:lvl w:ilvl="0" w:tplc="3828C78E">
      <w:start w:val="1"/>
      <w:numFmt w:val="lowerLetter"/>
      <w:pStyle w:val="IntenseQuote"/>
      <w:lvlText w:val="%1."/>
      <w:lvlJc w:val="left"/>
      <w:pPr>
        <w:ind w:left="720" w:hanging="360"/>
      </w:pPr>
      <w:rPr>
        <w:rFonts w:hint="default"/>
        <w:b/>
        <w:bCs/>
      </w:rPr>
    </w:lvl>
    <w:lvl w:ilvl="1" w:tplc="CFF4522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856097"/>
    <w:multiLevelType w:val="hybridMultilevel"/>
    <w:tmpl w:val="EBFE1650"/>
    <w:lvl w:ilvl="0" w:tplc="5E74E2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EF13E4"/>
    <w:multiLevelType w:val="hybridMultilevel"/>
    <w:tmpl w:val="422888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85487"/>
    <w:multiLevelType w:val="hybridMultilevel"/>
    <w:tmpl w:val="F7A8B08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6A1E13"/>
    <w:multiLevelType w:val="hybridMultilevel"/>
    <w:tmpl w:val="0EFEA1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D7022EC"/>
    <w:multiLevelType w:val="hybridMultilevel"/>
    <w:tmpl w:val="F4BA28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E112BE8"/>
    <w:multiLevelType w:val="hybridMultilevel"/>
    <w:tmpl w:val="1E447F90"/>
    <w:lvl w:ilvl="0" w:tplc="0409000F">
      <w:start w:val="1"/>
      <w:numFmt w:val="decimal"/>
      <w:lvlText w:val="%1."/>
      <w:lvlJc w:val="left"/>
      <w:pPr>
        <w:tabs>
          <w:tab w:val="num" w:pos="-776"/>
        </w:tabs>
        <w:ind w:left="-776" w:hanging="360"/>
      </w:pPr>
    </w:lvl>
    <w:lvl w:ilvl="1" w:tplc="04090019" w:tentative="1">
      <w:start w:val="1"/>
      <w:numFmt w:val="lowerLetter"/>
      <w:lvlText w:val="%2."/>
      <w:lvlJc w:val="left"/>
      <w:pPr>
        <w:tabs>
          <w:tab w:val="num" w:pos="-56"/>
        </w:tabs>
        <w:ind w:left="-56" w:hanging="360"/>
      </w:pPr>
    </w:lvl>
    <w:lvl w:ilvl="2" w:tplc="0409001B" w:tentative="1">
      <w:start w:val="1"/>
      <w:numFmt w:val="lowerRoman"/>
      <w:lvlText w:val="%3."/>
      <w:lvlJc w:val="right"/>
      <w:pPr>
        <w:tabs>
          <w:tab w:val="num" w:pos="664"/>
        </w:tabs>
        <w:ind w:left="664" w:hanging="180"/>
      </w:pPr>
    </w:lvl>
    <w:lvl w:ilvl="3" w:tplc="0409000F" w:tentative="1">
      <w:start w:val="1"/>
      <w:numFmt w:val="decimal"/>
      <w:lvlText w:val="%4."/>
      <w:lvlJc w:val="left"/>
      <w:pPr>
        <w:tabs>
          <w:tab w:val="num" w:pos="1384"/>
        </w:tabs>
        <w:ind w:left="1384" w:hanging="360"/>
      </w:pPr>
    </w:lvl>
    <w:lvl w:ilvl="4" w:tplc="04090019" w:tentative="1">
      <w:start w:val="1"/>
      <w:numFmt w:val="lowerLetter"/>
      <w:lvlText w:val="%5."/>
      <w:lvlJc w:val="left"/>
      <w:pPr>
        <w:tabs>
          <w:tab w:val="num" w:pos="2104"/>
        </w:tabs>
        <w:ind w:left="2104" w:hanging="360"/>
      </w:p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16cid:durableId="141167886">
    <w:abstractNumId w:val="3"/>
  </w:num>
  <w:num w:numId="2" w16cid:durableId="3823788">
    <w:abstractNumId w:val="11"/>
  </w:num>
  <w:num w:numId="3" w16cid:durableId="922641694">
    <w:abstractNumId w:val="21"/>
  </w:num>
  <w:num w:numId="4" w16cid:durableId="1784496900">
    <w:abstractNumId w:val="10"/>
  </w:num>
  <w:num w:numId="5" w16cid:durableId="1059062438">
    <w:abstractNumId w:val="20"/>
  </w:num>
  <w:num w:numId="6" w16cid:durableId="1153643409">
    <w:abstractNumId w:val="13"/>
  </w:num>
  <w:num w:numId="7" w16cid:durableId="296645453">
    <w:abstractNumId w:val="19"/>
  </w:num>
  <w:num w:numId="8" w16cid:durableId="510266527">
    <w:abstractNumId w:val="8"/>
  </w:num>
  <w:num w:numId="9" w16cid:durableId="1609966008">
    <w:abstractNumId w:val="12"/>
  </w:num>
  <w:num w:numId="10" w16cid:durableId="25103550">
    <w:abstractNumId w:val="2"/>
  </w:num>
  <w:num w:numId="11" w16cid:durableId="289094938">
    <w:abstractNumId w:val="4"/>
  </w:num>
  <w:num w:numId="12" w16cid:durableId="1147937636">
    <w:abstractNumId w:val="1"/>
  </w:num>
  <w:num w:numId="13" w16cid:durableId="2019651785">
    <w:abstractNumId w:val="15"/>
  </w:num>
  <w:num w:numId="14" w16cid:durableId="500462333">
    <w:abstractNumId w:val="5"/>
  </w:num>
  <w:num w:numId="15" w16cid:durableId="504900499">
    <w:abstractNumId w:val="0"/>
  </w:num>
  <w:num w:numId="16" w16cid:durableId="1469975275">
    <w:abstractNumId w:val="9"/>
  </w:num>
  <w:num w:numId="17" w16cid:durableId="233510236">
    <w:abstractNumId w:val="7"/>
  </w:num>
  <w:num w:numId="18" w16cid:durableId="393820521">
    <w:abstractNumId w:val="6"/>
  </w:num>
  <w:num w:numId="19" w16cid:durableId="1072432140">
    <w:abstractNumId w:val="14"/>
  </w:num>
  <w:num w:numId="20" w16cid:durableId="507910377">
    <w:abstractNumId w:val="18"/>
  </w:num>
  <w:num w:numId="21" w16cid:durableId="2126077616">
    <w:abstractNumId w:val="17"/>
  </w:num>
  <w:num w:numId="22" w16cid:durableId="1373572265">
    <w:abstractNumId w:val="16"/>
  </w:num>
  <w:num w:numId="23" w16cid:durableId="1922517066">
    <w:abstractNumId w:val="15"/>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2C55"/>
    <w:rsid w:val="00036824"/>
    <w:rsid w:val="0003731A"/>
    <w:rsid w:val="00050EA6"/>
    <w:rsid w:val="0005672E"/>
    <w:rsid w:val="00094FC9"/>
    <w:rsid w:val="001166B5"/>
    <w:rsid w:val="001562F1"/>
    <w:rsid w:val="00162C2C"/>
    <w:rsid w:val="001A4774"/>
    <w:rsid w:val="001A487F"/>
    <w:rsid w:val="001A71ED"/>
    <w:rsid w:val="001B4068"/>
    <w:rsid w:val="001C3967"/>
    <w:rsid w:val="001F6C59"/>
    <w:rsid w:val="0020605E"/>
    <w:rsid w:val="00221AEE"/>
    <w:rsid w:val="0023787D"/>
    <w:rsid w:val="00243032"/>
    <w:rsid w:val="00245111"/>
    <w:rsid w:val="00295F59"/>
    <w:rsid w:val="002B31E6"/>
    <w:rsid w:val="003259EB"/>
    <w:rsid w:val="003519F4"/>
    <w:rsid w:val="00371997"/>
    <w:rsid w:val="00382E4B"/>
    <w:rsid w:val="00384B46"/>
    <w:rsid w:val="00392132"/>
    <w:rsid w:val="003A2C06"/>
    <w:rsid w:val="003A4B82"/>
    <w:rsid w:val="003B5EC3"/>
    <w:rsid w:val="003C1A07"/>
    <w:rsid w:val="003D32F5"/>
    <w:rsid w:val="003D4CA1"/>
    <w:rsid w:val="003F5E0D"/>
    <w:rsid w:val="00414C9C"/>
    <w:rsid w:val="00417CE0"/>
    <w:rsid w:val="00457071"/>
    <w:rsid w:val="00472D90"/>
    <w:rsid w:val="004A4F18"/>
    <w:rsid w:val="00532963"/>
    <w:rsid w:val="00535327"/>
    <w:rsid w:val="005526F3"/>
    <w:rsid w:val="005A1EDC"/>
    <w:rsid w:val="005A3C7F"/>
    <w:rsid w:val="005C3338"/>
    <w:rsid w:val="005C7FDD"/>
    <w:rsid w:val="005E664B"/>
    <w:rsid w:val="005F44B0"/>
    <w:rsid w:val="0062327F"/>
    <w:rsid w:val="00634E88"/>
    <w:rsid w:val="00641E11"/>
    <w:rsid w:val="006827B9"/>
    <w:rsid w:val="00682E4F"/>
    <w:rsid w:val="006843A9"/>
    <w:rsid w:val="006F0B75"/>
    <w:rsid w:val="00795127"/>
    <w:rsid w:val="007D0D7E"/>
    <w:rsid w:val="007E64F7"/>
    <w:rsid w:val="00812923"/>
    <w:rsid w:val="00835CE2"/>
    <w:rsid w:val="008737A7"/>
    <w:rsid w:val="00882826"/>
    <w:rsid w:val="008830A7"/>
    <w:rsid w:val="00887584"/>
    <w:rsid w:val="008B66AB"/>
    <w:rsid w:val="008D1CE1"/>
    <w:rsid w:val="008D4A72"/>
    <w:rsid w:val="008E4062"/>
    <w:rsid w:val="008E5211"/>
    <w:rsid w:val="008F59F7"/>
    <w:rsid w:val="00965CCC"/>
    <w:rsid w:val="00970490"/>
    <w:rsid w:val="00971EA3"/>
    <w:rsid w:val="009945FD"/>
    <w:rsid w:val="009B6AC6"/>
    <w:rsid w:val="009C1358"/>
    <w:rsid w:val="009D1AC6"/>
    <w:rsid w:val="009D4F8F"/>
    <w:rsid w:val="00A13B21"/>
    <w:rsid w:val="00A22622"/>
    <w:rsid w:val="00A306FA"/>
    <w:rsid w:val="00A70944"/>
    <w:rsid w:val="00AA0C8F"/>
    <w:rsid w:val="00AA4213"/>
    <w:rsid w:val="00AC78E1"/>
    <w:rsid w:val="00AE514B"/>
    <w:rsid w:val="00B049BA"/>
    <w:rsid w:val="00B61AD9"/>
    <w:rsid w:val="00B6404B"/>
    <w:rsid w:val="00BA372B"/>
    <w:rsid w:val="00BF7474"/>
    <w:rsid w:val="00C10D8B"/>
    <w:rsid w:val="00C36CE7"/>
    <w:rsid w:val="00C63425"/>
    <w:rsid w:val="00C81BE9"/>
    <w:rsid w:val="00C95390"/>
    <w:rsid w:val="00CB0B9B"/>
    <w:rsid w:val="00CC1230"/>
    <w:rsid w:val="00D60669"/>
    <w:rsid w:val="00D74871"/>
    <w:rsid w:val="00DC27E2"/>
    <w:rsid w:val="00DD1A99"/>
    <w:rsid w:val="00DD51CA"/>
    <w:rsid w:val="00DE078E"/>
    <w:rsid w:val="00E05122"/>
    <w:rsid w:val="00E26836"/>
    <w:rsid w:val="00E4686A"/>
    <w:rsid w:val="00E72699"/>
    <w:rsid w:val="00E75020"/>
    <w:rsid w:val="00EC23F5"/>
    <w:rsid w:val="00EE2B12"/>
    <w:rsid w:val="00EE4195"/>
    <w:rsid w:val="00F225AE"/>
    <w:rsid w:val="00F277C7"/>
    <w:rsid w:val="00F41042"/>
    <w:rsid w:val="00F53303"/>
    <w:rsid w:val="00F7376B"/>
    <w:rsid w:val="00F81525"/>
    <w:rsid w:val="00FA31BC"/>
    <w:rsid w:val="00FB3B4D"/>
    <w:rsid w:val="00FB5AE5"/>
    <w:rsid w:val="00FE1D59"/>
    <w:rsid w:val="00FF069A"/>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82"/>
    <w:pPr>
      <w:spacing w:after="0" w:line="240" w:lineRule="auto"/>
    </w:pPr>
    <w:rPr>
      <w:rFonts w:ascii="Arial" w:eastAsiaTheme="minorEastAsia" w:hAnsi="Arial" w:cs="Arial"/>
      <w:color w:val="000000" w:themeColor="text1"/>
      <w:sz w:val="24"/>
      <w:szCs w:val="24"/>
      <w:lang w:eastAsia="en-GB"/>
    </w:rPr>
  </w:style>
  <w:style w:type="paragraph" w:styleId="Heading1">
    <w:name w:val="heading 1"/>
    <w:basedOn w:val="Heading2"/>
    <w:next w:val="Normal"/>
    <w:link w:val="Heading1Char"/>
    <w:uiPriority w:val="9"/>
    <w:qFormat/>
    <w:rsid w:val="00F225AE"/>
    <w:pPr>
      <w:numPr>
        <w:numId w:val="1"/>
      </w:numPr>
      <w:outlineLvl w:val="0"/>
    </w:pPr>
    <w:rPr>
      <w:color w:val="004785"/>
      <w:sz w:val="32"/>
      <w:szCs w:val="32"/>
    </w:rPr>
  </w:style>
  <w:style w:type="paragraph" w:styleId="Heading2">
    <w:name w:val="heading 2"/>
    <w:basedOn w:val="Normal"/>
    <w:next w:val="Normal"/>
    <w:link w:val="Heading2Char"/>
    <w:uiPriority w:val="9"/>
    <w:unhideWhenUsed/>
    <w:qFormat/>
    <w:rsid w:val="00F225AE"/>
    <w:pPr>
      <w:jc w:val="both"/>
      <w:outlineLvl w:val="1"/>
    </w:pPr>
    <w:rPr>
      <w:rFonts w:eastAsiaTheme="minorHAnsi"/>
      <w:b/>
      <w:bCs/>
      <w:color w:val="00A2E5"/>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F225AE"/>
    <w:rPr>
      <w:rFonts w:ascii="Arial" w:hAnsi="Arial" w:cs="Arial"/>
      <w:b/>
      <w:bCs/>
      <w:color w:val="00A2E5"/>
      <w:sz w:val="28"/>
      <w:szCs w:val="28"/>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character" w:customStyle="1" w:styleId="Heading1Char">
    <w:name w:val="Heading 1 Char"/>
    <w:basedOn w:val="DefaultParagraphFont"/>
    <w:link w:val="Heading1"/>
    <w:uiPriority w:val="9"/>
    <w:rsid w:val="00F225AE"/>
    <w:rPr>
      <w:rFonts w:ascii="Arial" w:hAnsi="Arial" w:cs="Arial"/>
      <w:b/>
      <w:bCs/>
      <w:color w:val="004785"/>
      <w:sz w:val="32"/>
      <w:szCs w:val="32"/>
    </w:rPr>
  </w:style>
  <w:style w:type="paragraph" w:styleId="Bibliography">
    <w:name w:val="Bibliography"/>
    <w:basedOn w:val="Normal"/>
    <w:next w:val="Normal"/>
    <w:uiPriority w:val="37"/>
    <w:semiHidden/>
    <w:unhideWhenUsed/>
    <w:rsid w:val="00AA4213"/>
  </w:style>
  <w:style w:type="table" w:customStyle="1" w:styleId="TableGrid1">
    <w:name w:val="Table Grid1"/>
    <w:basedOn w:val="TableNormal"/>
    <w:next w:val="TableGrid"/>
    <w:uiPriority w:val="39"/>
    <w:rsid w:val="00AA421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4B82"/>
    <w:rPr>
      <w:b/>
      <w:color w:val="004785"/>
      <w:sz w:val="44"/>
      <w:szCs w:val="44"/>
    </w:rPr>
  </w:style>
  <w:style w:type="character" w:customStyle="1" w:styleId="TitleChar">
    <w:name w:val="Title Char"/>
    <w:basedOn w:val="DefaultParagraphFont"/>
    <w:link w:val="Title"/>
    <w:uiPriority w:val="10"/>
    <w:rsid w:val="003A4B82"/>
    <w:rPr>
      <w:rFonts w:ascii="Arial" w:eastAsiaTheme="minorEastAsia" w:hAnsi="Arial" w:cs="Arial"/>
      <w:b/>
      <w:color w:val="004785"/>
      <w:sz w:val="44"/>
      <w:szCs w:val="44"/>
      <w:lang w:eastAsia="en-GB"/>
    </w:rPr>
  </w:style>
  <w:style w:type="paragraph" w:styleId="Subtitle">
    <w:name w:val="Subtitle"/>
    <w:basedOn w:val="Normal"/>
    <w:next w:val="Normal"/>
    <w:link w:val="SubtitleChar"/>
    <w:uiPriority w:val="11"/>
    <w:qFormat/>
    <w:rsid w:val="003A4B82"/>
    <w:rPr>
      <w:bCs/>
      <w:color w:val="004785"/>
      <w:sz w:val="44"/>
      <w:szCs w:val="44"/>
    </w:rPr>
  </w:style>
  <w:style w:type="character" w:customStyle="1" w:styleId="SubtitleChar">
    <w:name w:val="Subtitle Char"/>
    <w:basedOn w:val="DefaultParagraphFont"/>
    <w:link w:val="Subtitle"/>
    <w:uiPriority w:val="11"/>
    <w:rsid w:val="003A4B82"/>
    <w:rPr>
      <w:rFonts w:ascii="Arial" w:eastAsiaTheme="minorEastAsia" w:hAnsi="Arial" w:cs="Arial"/>
      <w:bCs/>
      <w:color w:val="004785"/>
      <w:sz w:val="44"/>
      <w:szCs w:val="44"/>
      <w:lang w:eastAsia="en-GB"/>
    </w:rPr>
  </w:style>
  <w:style w:type="character" w:styleId="IntenseEmphasis">
    <w:name w:val="Intense Emphasis"/>
    <w:aliases w:val="Q-Pulse Footer"/>
    <w:uiPriority w:val="21"/>
    <w:qFormat/>
    <w:rsid w:val="003A4B82"/>
    <w:rPr>
      <w:rFonts w:ascii="Arial" w:hAnsi="Arial" w:cs="Arial"/>
      <w:color w:val="004785"/>
      <w:sz w:val="20"/>
      <w:szCs w:val="20"/>
    </w:rPr>
  </w:style>
  <w:style w:type="character" w:styleId="SubtleEmphasis">
    <w:name w:val="Subtle Emphasis"/>
    <w:aliases w:val="Network Header"/>
    <w:uiPriority w:val="19"/>
    <w:qFormat/>
    <w:rsid w:val="003A4B82"/>
    <w:rPr>
      <w:rFonts w:ascii="Arial" w:eastAsiaTheme="minorEastAsia" w:hAnsi="Arial" w:cs="Arial"/>
      <w:b/>
      <w:color w:val="365F91" w:themeColor="accent1" w:themeShade="BF"/>
      <w:sz w:val="24"/>
      <w:szCs w:val="24"/>
      <w:lang w:eastAsia="en-GB"/>
    </w:rPr>
  </w:style>
  <w:style w:type="character" w:styleId="Emphasis">
    <w:name w:val="Emphasis"/>
    <w:aliases w:val="Document Header"/>
    <w:uiPriority w:val="20"/>
    <w:qFormat/>
    <w:rsid w:val="003A4B82"/>
    <w:rPr>
      <w:rFonts w:ascii="Arial" w:eastAsiaTheme="minorEastAsia" w:hAnsi="Arial" w:cs="Arial"/>
      <w:bCs/>
      <w:color w:val="365F91" w:themeColor="accent1" w:themeShade="BF"/>
      <w:sz w:val="24"/>
      <w:szCs w:val="24"/>
      <w:lang w:eastAsia="en-GB"/>
    </w:rPr>
  </w:style>
  <w:style w:type="paragraph" w:styleId="TOCHeading">
    <w:name w:val="TOC Heading"/>
    <w:basedOn w:val="Heading1"/>
    <w:next w:val="Normal"/>
    <w:uiPriority w:val="39"/>
    <w:unhideWhenUsed/>
    <w:qFormat/>
    <w:rsid w:val="003A4B82"/>
    <w:pPr>
      <w:keepNext/>
      <w:keepLines/>
      <w:spacing w:before="240" w:line="259" w:lineRule="auto"/>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3A4B82"/>
    <w:pPr>
      <w:spacing w:after="100"/>
    </w:pPr>
  </w:style>
  <w:style w:type="paragraph" w:styleId="TOC2">
    <w:name w:val="toc 2"/>
    <w:basedOn w:val="Normal"/>
    <w:next w:val="Normal"/>
    <w:autoRedefine/>
    <w:uiPriority w:val="39"/>
    <w:unhideWhenUsed/>
    <w:rsid w:val="00E26836"/>
    <w:pPr>
      <w:tabs>
        <w:tab w:val="left" w:pos="1134"/>
        <w:tab w:val="right" w:leader="dot" w:pos="9016"/>
      </w:tabs>
      <w:spacing w:after="100" w:line="276" w:lineRule="auto"/>
      <w:ind w:left="709" w:hanging="469"/>
    </w:pPr>
  </w:style>
  <w:style w:type="paragraph" w:styleId="Quote">
    <w:name w:val="Quote"/>
    <w:basedOn w:val="Normal"/>
    <w:next w:val="Normal"/>
    <w:link w:val="QuoteChar"/>
    <w:uiPriority w:val="29"/>
    <w:qFormat/>
    <w:rsid w:val="00795127"/>
    <w:pPr>
      <w:numPr>
        <w:numId w:val="19"/>
      </w:numPr>
      <w:ind w:left="426" w:hanging="426"/>
      <w:contextualSpacing/>
    </w:pPr>
    <w:rPr>
      <w:b/>
      <w:bCs/>
      <w:color w:val="00A2E5"/>
      <w:sz w:val="28"/>
      <w:szCs w:val="28"/>
    </w:rPr>
  </w:style>
  <w:style w:type="character" w:customStyle="1" w:styleId="QuoteChar">
    <w:name w:val="Quote Char"/>
    <w:basedOn w:val="DefaultParagraphFont"/>
    <w:link w:val="Quote"/>
    <w:uiPriority w:val="29"/>
    <w:rsid w:val="00795127"/>
    <w:rPr>
      <w:rFonts w:ascii="Arial" w:eastAsiaTheme="minorEastAsia" w:hAnsi="Arial" w:cs="Arial"/>
      <w:b/>
      <w:bCs/>
      <w:color w:val="00A2E5"/>
      <w:sz w:val="28"/>
      <w:szCs w:val="28"/>
      <w:lang w:eastAsia="en-GB"/>
    </w:rPr>
  </w:style>
  <w:style w:type="paragraph" w:styleId="IntenseQuote">
    <w:name w:val="Intense Quote"/>
    <w:basedOn w:val="Normal"/>
    <w:next w:val="Normal"/>
    <w:link w:val="IntenseQuoteChar"/>
    <w:uiPriority w:val="30"/>
    <w:qFormat/>
    <w:rsid w:val="00835CE2"/>
    <w:pPr>
      <w:numPr>
        <w:numId w:val="13"/>
      </w:numPr>
      <w:jc w:val="both"/>
    </w:pPr>
    <w:rPr>
      <w:b/>
      <w:bCs/>
      <w:color w:val="00A2E5"/>
      <w:sz w:val="28"/>
      <w:szCs w:val="28"/>
    </w:rPr>
  </w:style>
  <w:style w:type="character" w:customStyle="1" w:styleId="IntenseQuoteChar">
    <w:name w:val="Intense Quote Char"/>
    <w:basedOn w:val="DefaultParagraphFont"/>
    <w:link w:val="IntenseQuote"/>
    <w:uiPriority w:val="30"/>
    <w:rsid w:val="00835CE2"/>
    <w:rPr>
      <w:rFonts w:ascii="Arial" w:eastAsiaTheme="minorEastAsia" w:hAnsi="Arial" w:cs="Arial"/>
      <w:b/>
      <w:bCs/>
      <w:color w:val="00A2E5"/>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46/j.1365-2133.2002.04860.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11/j.1600-0781.2001.170505.x"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8/0031-9155/46/2/305"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hotonet.scot.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Mus</b:Tag>
    <b:SourceType>Book</b:SourceType>
    <b:Guid>{53346E08-D2AE-4F43-B328-F8568B108918}</b:Guid>
    <b:Author>
      <b:Author>
        <b:NameList>
          <b:Person>
            <b:Last>Musallam K.M.</b:Last>
            <b:First>Rivella</b:First>
            <b:Middle>S., Vichinsky E., Rachmilewitz E.A.</b:Middle>
          </b:Person>
        </b:NameList>
      </b:Author>
    </b:Author>
    <b:Title>Non-transfusion-dependent thalassemias</b:Title>
    <b:Publisher>Haematologica</b:Publisher>
    <b:Year>2013</b:Year>
    <b:Volume>98(6)</b:Volume>
    <b:Pages>833-44</b:Pages>
    <b:RefOrder>1</b:RefOrder>
  </b:Source>
  <b:Source>
    <b:Tag>Sri08</b:Tag>
    <b:SourceType>Book</b:SourceType>
    <b:Guid>{F55A3811-953D-ED44-8794-2E10591E5283}</b:Guid>
    <b:Author>
      <b:Author>
        <b:NameList>
          <b:Person>
            <b:Last>Sripichai O.</b:Last>
            <b:First>Makarasara</b:First>
            <b:Middle>W., Munkongdee T., Kumkhaek C., Nuchprayoon I., Chuansumrit A., Chuncharunee S., Chantrakoon N., Boonmongkol P., Winichagoon P., Fucharoen S.</b:Middle>
          </b:Person>
        </b:NameList>
      </b:Author>
    </b:Author>
    <b:Title>A scoreing system for the classification off beta-thalassemia/Hb E disease severity</b:Title>
    <b:Publisher>American Journal of Hematology</b:Publisher>
    <b:Year>2008</b:Year>
    <b:Volume>83(6)</b:Volume>
    <b:Pages>482-484</b:Pages>
    <b:RefOrder>2</b:RefOrder>
  </b:Source>
  <b:Source>
    <b:Tag>Har09</b:Tag>
    <b:SourceType>Book</b:SourceType>
    <b:Guid>{18272BDC-E55C-E84A-9E75-9D9E205B5052}</b:Guid>
    <b:Author>
      <b:Author>
        <b:NameList>
          <b:Person>
            <b:Last>Harris A.M.</b:Last>
            <b:First>Atterbury</b:First>
            <b:Middle>C.L.J., Chaffe B., Elliott C., Hawkins T., Hennem S.J., Howell C., Jones J., Murray S., New H.V., Norfolk D, Pirie L., Russell J., Taylor C.</b:Middle>
          </b:Person>
        </b:NameList>
      </b:Author>
    </b:Author>
    <b:Title>Guideline on the Administration of Blood Components</b:Title>
    <b:Publisher>Brittish Committee for Standards in Haematology</b:Publisher>
    <b:Year>2009</b:Year>
    <b:RefOrder>5</b:RefOrder>
  </b:Source>
  <b:Source>
    <b:Tag>Cap14</b:Tag>
    <b:SourceType>Book</b:SourceType>
    <b:Guid>{A7590EE4-B8B5-8A48-99D3-639AFDBFA0C5}</b:Guid>
    <b:Author>
      <b:Author>
        <b:NameList>
          <b:Person>
            <b:Last>Cappellini M.D.</b:Last>
            <b:First>Cohen</b:First>
            <b:Middle>A., Porter J., Taher A., Viprakasit V.</b:Middle>
          </b:Person>
        </b:NameList>
      </b:Author>
    </b:Author>
    <b:Title>Guidelines for the management of transfusion dependent thalassaemia (TDT)</b:Title>
    <b:Publisher>Thalassaemia International Federation</b:Publisher>
    <b:Year>2014</b:Year>
    <b:RefOrder>7</b:RefOrder>
  </b:Source>
  <b:Source>
    <b:Tag>Tah13</b:Tag>
    <b:SourceType>Book</b:SourceType>
    <b:Guid>{4650A615-8F26-4044-BC6D-7DE02F0B13DC}</b:Guid>
    <b:Author>
      <b:Author>
        <b:NameList>
          <b:Person>
            <b:Last>Taher A.</b:Last>
            <b:First>Vichinsky</b:First>
            <b:Middle>E., Musallam K., Cappellini M.D., Viprakasit V.</b:Middle>
          </b:Person>
        </b:NameList>
      </b:Author>
    </b:Author>
    <b:Title>Guidelines for the management of non transfusion dependent thalassaemia (NTDT)</b:Title>
    <b:Publisher>Thalassaemia International Federation</b:Publisher>
    <b:Year>2013</b:Year>
    <b:RefOrder>4</b:RefOrder>
  </b:Source>
  <b:Source>
    <b:Tag>Bai12</b:Tag>
    <b:SourceType>Book</b:SourceType>
    <b:Guid>{CEC3D4AE-A6AE-A34E-8AA5-81B25ADD1244}</b:Guid>
    <b:Author>
      <b:Author>
        <b:NameList>
          <b:Person>
            <b:Last>Bain B.</b:Last>
            <b:First>Farrar</b:First>
            <b:Middle>L, Henthorn J., Old J., Rees D., Roper D., Stephens A., Streetly A., Wild B.</b:Middle>
          </b:Person>
        </b:NameList>
      </b:Author>
    </b:Author>
    <b:Title>Sickle Cell and Thalassaemia Handbook for Laboratories</b:Title>
    <b:Publisher>NHS Sickle Cell and Thalassaemia Screening Programme</b:Publisher>
    <b:Year>2012</b:Year>
    <b:RefOrder>3</b:RefOrder>
  </b:Source>
  <b:Source>
    <b:Tag>Dav</b:Tag>
    <b:SourceType>Book</b:SourceType>
    <b:Guid>{3805F260-1175-F746-B7E7-81B46CD6A3F7}</b:Guid>
    <b:Author>
      <b:Author>
        <b:NameList>
          <b:Person>
            <b:Last>Davies J.M.</b:Last>
            <b:First>Lewis</b:First>
            <b:Middle>M.P.N., Wimperis J., Rafi I., Ladhani S., Bolton-Maggs P.H.B.</b:Middle>
          </b:Person>
        </b:NameList>
      </b:Author>
    </b:Author>
    <b:Title>Review of guidelines for the prevention and treatment of infection in patients with an absent or dysfunctional spleen: Prepared on behalf of the British Committee for Standards in Haematology by a Working Party of the Haemato-Oncology Task Force</b:Title>
    <b:Publisher>British Journal of Haematology</b:Publisher>
    <b:Volume>155</b:Volume>
    <b:Pages>308-317</b:Pages>
    <b:Year>2011</b:Year>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EBF9FF7CD7B0C4382C6D667EDFC7923" ma:contentTypeVersion="2" ma:contentTypeDescription="Create a new document." ma:contentTypeScope="" ma:versionID="41b1ad6cb9b31fa1300b75d6062c1223">
  <xsd:schema xmlns:xsd="http://www.w3.org/2001/XMLSchema" xmlns:xs="http://www.w3.org/2001/XMLSchema" xmlns:p="http://schemas.microsoft.com/office/2006/metadata/properties" xmlns:ns2="04985b1e-df18-4b23-8061-dccf141c8a08" targetNamespace="http://schemas.microsoft.com/office/2006/metadata/properties" ma:root="true" ma:fieldsID="a7fb4af051e76f4a4e330789220e5fce" ns2:_="">
    <xsd:import namespace="04985b1e-df18-4b23-8061-dccf141c8a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5b1e-df18-4b23-8061-dccf141c8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D38A0-BBA3-4D25-ACAB-D0036D03E101}">
  <ds:schemaRefs>
    <ds:schemaRef ds:uri="http://schemas.openxmlformats.org/officeDocument/2006/bibliography"/>
  </ds:schemaRefs>
</ds:datastoreItem>
</file>

<file path=customXml/itemProps2.xml><?xml version="1.0" encoding="utf-8"?>
<ds:datastoreItem xmlns:ds="http://schemas.openxmlformats.org/officeDocument/2006/customXml" ds:itemID="{D3A0EE0A-B675-463E-966C-BC336CC112AE}"/>
</file>

<file path=customXml/itemProps3.xml><?xml version="1.0" encoding="utf-8"?>
<ds:datastoreItem xmlns:ds="http://schemas.openxmlformats.org/officeDocument/2006/customXml" ds:itemID="{5422486B-BD2F-4C9D-AC7C-5CE73287BC43}"/>
</file>

<file path=customXml/itemProps4.xml><?xml version="1.0" encoding="utf-8"?>
<ds:datastoreItem xmlns:ds="http://schemas.openxmlformats.org/officeDocument/2006/customXml" ds:itemID="{CEF28BAA-3FD4-41A3-806A-424DD09BA65E}"/>
</file>

<file path=docProps/app.xml><?xml version="1.0" encoding="utf-8"?>
<Properties xmlns="http://schemas.openxmlformats.org/officeDocument/2006/extended-properties" xmlns:vt="http://schemas.openxmlformats.org/officeDocument/2006/docPropsVTypes">
  <Template>Normal</Template>
  <TotalTime>2</TotalTime>
  <Pages>13</Pages>
  <Words>3667</Words>
  <Characters>20904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Aneta Gorczynski</cp:lastModifiedBy>
  <cp:revision>2</cp:revision>
  <cp:lastPrinted>2023-01-06T11:35:00Z</cp:lastPrinted>
  <dcterms:created xsi:type="dcterms:W3CDTF">2023-06-27T07:59:00Z</dcterms:created>
  <dcterms:modified xsi:type="dcterms:W3CDTF">2023-06-27T07:59:00Z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0x0101007EBF9FF7CD7B0C4382C6D667EDFC7923</vt:lpwstr>
  </property>
</Properties>
</file>